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5"/>
        <w:tblpPr w:leftFromText="181" w:rightFromText="181" w:horzAnchor="margin" w:tblpXSpec="center" w:tblpYSpec="top"/>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8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8833" w:type="dxa"/>
            <w:noWrap w:val="0"/>
            <w:vAlign w:val="top"/>
          </w:tcPr>
          <w:p>
            <w:pPr>
              <w:spacing w:line="600" w:lineRule="exact"/>
              <w:rPr>
                <w:rFonts w:hint="eastAsia"/>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8833" w:type="dxa"/>
            <w:noWrap w:val="0"/>
            <w:vAlign w:val="top"/>
          </w:tcPr>
          <w:p>
            <w:pPr>
              <w:spacing w:line="600" w:lineRule="exact"/>
              <w:rPr>
                <w:rFonts w:hint="eastAsia" w:ascii="方正黑体_GBK" w:eastAsia="方正黑体_GBK"/>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exact"/>
          <w:jc w:val="center"/>
        </w:trPr>
        <w:tc>
          <w:tcPr>
            <w:tcW w:w="8833" w:type="dxa"/>
            <w:noWrap w:val="0"/>
            <w:vAlign w:val="center"/>
          </w:tcPr>
          <w:p>
            <w:pPr>
              <w:jc w:val="center"/>
              <w:rPr>
                <w:rFonts w:hint="eastAsia" w:ascii="方正小标宋简体" w:eastAsia="方正小标宋简体"/>
                <w:color w:val="FF0000"/>
                <w:w w:val="8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5" w:hRule="exact"/>
          <w:jc w:val="center"/>
        </w:trPr>
        <w:tc>
          <w:tcPr>
            <w:tcW w:w="8833" w:type="dxa"/>
            <w:noWrap w:val="0"/>
            <w:vAlign w:val="center"/>
          </w:tcPr>
          <w:p>
            <w:pPr>
              <w:jc w:val="center"/>
              <w:rPr>
                <w:rFonts w:hint="eastAsia" w:eastAsia="方正小标宋_GBK"/>
                <w:b/>
                <w:color w:val="FF3300"/>
                <w:spacing w:val="6"/>
                <w:w w:val="34"/>
                <w:sz w:val="128"/>
                <w:szCs w:val="128"/>
                <w:lang w:eastAsia="zh-CN"/>
              </w:rPr>
            </w:pPr>
            <w:r>
              <w:rPr>
                <w:rFonts w:hint="eastAsia" w:eastAsia="方正小标宋_GBK"/>
                <w:b/>
                <w:color w:val="FF3300"/>
                <w:spacing w:val="6"/>
                <w:w w:val="43"/>
                <w:sz w:val="128"/>
                <w:szCs w:val="128"/>
              </w:rPr>
              <w:t>重庆市开州区</w:t>
            </w:r>
            <w:r>
              <w:rPr>
                <w:rFonts w:hint="eastAsia" w:eastAsia="方正小标宋_GBK"/>
                <w:b/>
                <w:color w:val="FF3300"/>
                <w:spacing w:val="6"/>
                <w:w w:val="43"/>
                <w:sz w:val="128"/>
                <w:szCs w:val="128"/>
                <w:lang w:eastAsia="zh-CN"/>
              </w:rPr>
              <w:t>铁桥镇人民政府文件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1" w:hRule="exact"/>
          <w:jc w:val="center"/>
        </w:trPr>
        <w:tc>
          <w:tcPr>
            <w:tcW w:w="8833" w:type="dxa"/>
            <w:noWrap/>
            <w:vAlign w:val="bottom"/>
          </w:tcPr>
          <w:p>
            <w:pPr>
              <w:spacing w:line="540" w:lineRule="exact"/>
              <w:jc w:val="center"/>
              <w:rPr>
                <w:rFonts w:hint="eastAsia" w:ascii="方正仿宋_GBK" w:hAnsi="方正仿宋_GBK" w:eastAsia="方正仿宋_GBK" w:cs="方正仿宋_GBK"/>
                <w:spacing w:val="10"/>
                <w:sz w:val="32"/>
                <w:szCs w:val="32"/>
              </w:rPr>
            </w:pPr>
            <w:r>
              <w:rPr>
                <w:rFonts w:hint="eastAsia" w:ascii="方正仿宋_GBK" w:hAnsi="方正仿宋_GBK" w:eastAsia="方正仿宋_GBK" w:cs="方正仿宋_GBK"/>
                <w:spacing w:val="10"/>
                <w:sz w:val="32"/>
                <w:szCs w:val="32"/>
              </w:rPr>
              <w:t>开州铁府发〔20</w:t>
            </w:r>
            <w:r>
              <w:rPr>
                <w:rFonts w:hint="eastAsia" w:ascii="方正仿宋_GBK" w:hAnsi="方正仿宋_GBK" w:eastAsia="方正仿宋_GBK" w:cs="方正仿宋_GBK"/>
                <w:spacing w:val="10"/>
                <w:sz w:val="32"/>
                <w:szCs w:val="32"/>
                <w:lang w:val="en-US" w:eastAsia="zh-CN"/>
              </w:rPr>
              <w:t>20</w:t>
            </w:r>
            <w:r>
              <w:rPr>
                <w:rFonts w:hint="eastAsia" w:ascii="方正仿宋_GBK" w:hAnsi="方正仿宋_GBK" w:eastAsia="方正仿宋_GBK" w:cs="方正仿宋_GBK"/>
                <w:spacing w:val="10"/>
                <w:sz w:val="32"/>
                <w:szCs w:val="32"/>
              </w:rPr>
              <w:t>〕</w:t>
            </w:r>
            <w:r>
              <w:rPr>
                <w:rFonts w:hint="eastAsia" w:ascii="方正仿宋_GBK" w:hAnsi="方正仿宋_GBK" w:eastAsia="方正仿宋_GBK" w:cs="方正仿宋_GBK"/>
                <w:spacing w:val="10"/>
                <w:sz w:val="32"/>
                <w:szCs w:val="32"/>
                <w:lang w:val="en-US" w:eastAsia="zh-CN"/>
              </w:rPr>
              <w:t>369</w:t>
            </w:r>
            <w:r>
              <w:rPr>
                <w:rFonts w:hint="eastAsia" w:ascii="方正仿宋_GBK" w:hAnsi="方正仿宋_GBK" w:eastAsia="方正仿宋_GBK" w:cs="方正仿宋_GBK"/>
                <w:spacing w:val="10"/>
                <w:sz w:val="32"/>
                <w:szCs w:val="32"/>
              </w:rPr>
              <w:t>号</w:t>
            </w:r>
          </w:p>
          <w:p>
            <w:pPr>
              <w:spacing w:line="540" w:lineRule="exact"/>
              <w:jc w:val="center"/>
              <w:rPr>
                <w:rFonts w:hint="eastAsia"/>
                <w:sz w:val="34"/>
                <w:szCs w:val="34"/>
              </w:rPr>
            </w:pPr>
            <w:r>
              <w:rPr>
                <w:rFonts w:hint="eastAsia"/>
                <w:color w:val="FF3300"/>
                <w:sz w:val="52"/>
                <w:szCs w:val="52"/>
              </w:rPr>
              <mc:AlternateContent>
                <mc:Choice Requires="wps">
                  <w:drawing>
                    <wp:anchor distT="0" distB="0" distL="114300" distR="114300" simplePos="0" relativeHeight="252622848" behindDoc="0" locked="0" layoutInCell="1" allowOverlap="1">
                      <wp:simplePos x="0" y="0"/>
                      <wp:positionH relativeFrom="column">
                        <wp:posOffset>-149860</wp:posOffset>
                      </wp:positionH>
                      <wp:positionV relativeFrom="paragraph">
                        <wp:posOffset>178435</wp:posOffset>
                      </wp:positionV>
                      <wp:extent cx="5615940" cy="0"/>
                      <wp:effectExtent l="0" t="13970" r="3810" b="24130"/>
                      <wp:wrapNone/>
                      <wp:docPr id="2" name="直接连接符 2"/>
                      <wp:cNvGraphicFramePr/>
                      <a:graphic xmlns:a="http://schemas.openxmlformats.org/drawingml/2006/main">
                        <a:graphicData uri="http://schemas.microsoft.com/office/word/2010/wordprocessingShape">
                          <wps:wsp>
                            <wps:cNvCnPr/>
                            <wps:spPr>
                              <a:xfrm>
                                <a:off x="0" y="0"/>
                                <a:ext cx="561594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8pt;margin-top:14.05pt;height:0pt;width:442.2pt;z-index:252622848;mso-width-relative:page;mso-height-relative:page;" filled="f" stroked="t" coordsize="21600,21600" o:gfxdata="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xHsLT1gAAAAkBAAAPAAAAAAAAAAEAIAAAACIAAABkcnMvZG93bnJldi54bWxQ&#10;SwECFAAUAAAACACHTuJA0jUw3vkBAADlAwAADgAAAAAAAAABACAAAAAlAQAAZHJzL2Uyb0RvYy54&#10;bWxQSwUGAAAAAAYABgBZAQAAkAUAAAAA&#10;">
                      <v:fill on="f" focussize="0,0"/>
                      <v:stroke weight="2.25pt" color="#FF0000" joinstyle="round"/>
                      <v:imagedata o:title=""/>
                      <o:lock v:ext="edit" aspectratio="f"/>
                    </v:line>
                  </w:pict>
                </mc:Fallback>
              </mc:AlternateContent>
            </w:r>
          </w:p>
          <w:p>
            <w:pPr>
              <w:spacing w:line="540" w:lineRule="exact"/>
              <w:jc w:val="center"/>
              <w:rPr>
                <w:rFonts w:hint="eastAsia"/>
                <w:sz w:val="52"/>
                <w:szCs w:val="52"/>
              </w:rPr>
            </w:pPr>
          </w:p>
        </w:tc>
      </w:tr>
    </w:tbl>
    <w:p>
      <w:pPr>
        <w:keepNext w:val="0"/>
        <w:keepLines w:val="0"/>
        <w:pageBreakBefore w:val="0"/>
        <w:widowControl w:val="0"/>
        <w:kinsoku/>
        <w:wordWrap/>
        <w:overflowPunct/>
        <w:topLinePunct w:val="0"/>
        <w:bidi w:val="0"/>
        <w:snapToGrid/>
        <w:spacing w:line="600" w:lineRule="exact"/>
        <w:jc w:val="center"/>
        <w:textAlignment w:val="auto"/>
        <w:rPr>
          <w:rFonts w:hint="eastAsia" w:ascii="方正小标宋_GBK" w:hAnsi="方正小标宋_GBK" w:eastAsia="方正小标宋_GBK" w:cs="方正小标宋_GBK"/>
          <w:b/>
          <w:bCs/>
          <w:sz w:val="44"/>
          <w:szCs w:val="44"/>
          <w:lang w:val="en-US" w:eastAsia="zh-CN"/>
        </w:rPr>
      </w:pPr>
    </w:p>
    <w:p>
      <w:pPr>
        <w:keepNext w:val="0"/>
        <w:keepLines w:val="0"/>
        <w:pageBreakBefore w:val="0"/>
        <w:widowControl w:val="0"/>
        <w:kinsoku/>
        <w:wordWrap/>
        <w:overflowPunct/>
        <w:topLinePunct w:val="0"/>
        <w:bidi w:val="0"/>
        <w:snapToGrid/>
        <w:spacing w:line="600" w:lineRule="exact"/>
        <w:jc w:val="center"/>
        <w:textAlignment w:val="auto"/>
        <w:rPr>
          <w:rFonts w:hint="eastAsia" w:ascii="方正小标宋_GBK" w:hAnsi="方正小标宋_GBK" w:eastAsia="方正小标宋_GBK" w:cs="方正小标宋_GBK"/>
          <w:b/>
          <w:bCs/>
          <w:sz w:val="44"/>
          <w:szCs w:val="44"/>
          <w:lang w:val="en-US" w:eastAsia="zh-CN"/>
        </w:rPr>
      </w:pPr>
    </w:p>
    <w:p>
      <w:pPr>
        <w:keepNext w:val="0"/>
        <w:keepLines w:val="0"/>
        <w:pageBreakBefore w:val="0"/>
        <w:widowControl w:val="0"/>
        <w:kinsoku/>
        <w:wordWrap/>
        <w:overflowPunct/>
        <w:topLinePunct w:val="0"/>
        <w:bidi w:val="0"/>
        <w:snapToGrid/>
        <w:spacing w:line="60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重庆市开州区铁桥镇人民政府</w:t>
      </w:r>
    </w:p>
    <w:p>
      <w:pPr>
        <w:keepNext w:val="0"/>
        <w:keepLines w:val="0"/>
        <w:pageBreakBefore w:val="0"/>
        <w:widowControl w:val="0"/>
        <w:kinsoku/>
        <w:wordWrap/>
        <w:overflowPunct/>
        <w:topLinePunct w:val="0"/>
        <w:bidi w:val="0"/>
        <w:snapToGrid/>
        <w:spacing w:line="600" w:lineRule="exact"/>
        <w:jc w:val="center"/>
        <w:textAlignment w:val="auto"/>
        <w:rPr>
          <w:rFonts w:hint="eastAsia" w:ascii="方正仿宋_GBK" w:hAnsi="方正仿宋_GBK" w:eastAsia="方正仿宋_GBK" w:cs="方正仿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关于印发《集中式地表水饮用水水源地突发环境事件应急预案》的通知</w:t>
      </w:r>
    </w:p>
    <w:p>
      <w:pPr>
        <w:pStyle w:val="2"/>
        <w:keepNext w:val="0"/>
        <w:keepLines w:val="0"/>
        <w:pageBreakBefore w:val="0"/>
        <w:widowControl w:val="0"/>
        <w:kinsoku/>
        <w:wordWrap/>
        <w:overflowPunct/>
        <w:topLinePunct w:val="0"/>
        <w:bidi w:val="0"/>
        <w:snapToGrid/>
        <w:spacing w:line="600" w:lineRule="exact"/>
        <w:textAlignment w:val="auto"/>
        <w:rPr>
          <w:rFonts w:hint="eastAsia" w:ascii="方正仿宋_GBK" w:eastAsia="方正仿宋_GBK"/>
          <w:sz w:val="32"/>
          <w:szCs w:val="32"/>
        </w:rPr>
      </w:pPr>
    </w:p>
    <w:p>
      <w:pPr>
        <w:pStyle w:val="2"/>
        <w:keepNext w:val="0"/>
        <w:keepLines w:val="0"/>
        <w:pageBreakBefore w:val="0"/>
        <w:widowControl w:val="0"/>
        <w:kinsoku/>
        <w:wordWrap/>
        <w:overflowPunct/>
        <w:topLinePunct w:val="0"/>
        <w:bidi w:val="0"/>
        <w:snapToGrid/>
        <w:spacing w:line="600" w:lineRule="exact"/>
        <w:textAlignment w:val="auto"/>
        <w:rPr>
          <w:rFonts w:ascii="方正仿宋_GBK" w:eastAsia="方正仿宋_GBK"/>
          <w:sz w:val="32"/>
          <w:szCs w:val="32"/>
        </w:rPr>
      </w:pPr>
      <w:r>
        <w:rPr>
          <w:rFonts w:hint="eastAsia" w:ascii="方正仿宋_GBK" w:eastAsia="方正仿宋_GBK"/>
          <w:sz w:val="32"/>
          <w:szCs w:val="32"/>
        </w:rPr>
        <w:t>各科室站所、各村（居）：</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sz w:val="32"/>
          <w:szCs w:val="32"/>
          <w:lang w:eastAsia="zh-CN"/>
        </w:rPr>
      </w:pPr>
      <w:r>
        <w:rPr>
          <w:rFonts w:hint="eastAsia" w:ascii="方正仿宋_GBK" w:hAnsi="方正仿宋_GBK" w:eastAsia="方正仿宋_GBK" w:cs="方正仿宋_GBK"/>
          <w:sz w:val="32"/>
          <w:szCs w:val="32"/>
          <w:lang w:val="en-US" w:eastAsia="zh-CN"/>
        </w:rPr>
        <w:t>为建立健全水环境污染事件应急机制，有效预防和减少突发环境事件的发生，快速、科学地进行突发环境事件的应急处置，全面提高应对全镇集中式地表水饮用水水源地突发环境事件的能力，有效应对辖区内水源地突发环境事件，最大程度降低突发环境事件对水源地水质影响，规范水源地突发环境事件应对的各项工作，特制定本预案。</w:t>
      </w:r>
      <w:r>
        <w:rPr>
          <w:rFonts w:hint="eastAsia" w:ascii="方正仿宋_GBK" w:eastAsia="方正仿宋_GBK"/>
          <w:sz w:val="32"/>
          <w:szCs w:val="32"/>
        </w:rPr>
        <w:t>现将</w:t>
      </w:r>
      <w:r>
        <w:rPr>
          <w:rFonts w:hint="eastAsia" w:ascii="方正仿宋_GBK" w:eastAsia="方正仿宋_GBK"/>
          <w:sz w:val="32"/>
          <w:szCs w:val="32"/>
          <w:lang w:val="en-US" w:eastAsia="zh-CN"/>
        </w:rPr>
        <w:t>铁桥</w:t>
      </w:r>
      <w:r>
        <w:rPr>
          <w:rFonts w:hint="eastAsia" w:ascii="方正仿宋_GBK" w:eastAsia="方正仿宋_GBK"/>
          <w:sz w:val="32"/>
          <w:szCs w:val="32"/>
        </w:rPr>
        <w:t>镇关于《</w:t>
      </w:r>
      <w:r>
        <w:rPr>
          <w:rFonts w:hint="eastAsia" w:ascii="方正仿宋_GBK" w:eastAsia="方正仿宋_GBK"/>
          <w:sz w:val="32"/>
          <w:szCs w:val="32"/>
          <w:lang w:val="en-US" w:eastAsia="zh-CN"/>
        </w:rPr>
        <w:t>集中式地表水</w:t>
      </w:r>
      <w:r>
        <w:rPr>
          <w:rFonts w:hint="eastAsia" w:ascii="方正仿宋_GBK" w:eastAsia="方正仿宋_GBK" w:hAnsiTheme="minorEastAsia" w:cstheme="minorEastAsia"/>
          <w:bCs/>
          <w:sz w:val="32"/>
          <w:szCs w:val="32"/>
        </w:rPr>
        <w:t>饮用水水源地突发环境事件应急预案</w:t>
      </w:r>
      <w:r>
        <w:rPr>
          <w:rFonts w:hint="eastAsia" w:ascii="方正仿宋_GBK" w:eastAsia="方正仿宋_GBK"/>
          <w:sz w:val="32"/>
          <w:szCs w:val="32"/>
        </w:rPr>
        <w:t>》的通知印发给你们，请遵照执行</w:t>
      </w:r>
      <w:r>
        <w:rPr>
          <w:rFonts w:hint="eastAsia" w:ascii="方正仿宋_GBK" w:eastAsia="方正仿宋_GBK"/>
          <w:sz w:val="32"/>
          <w:szCs w:val="32"/>
          <w:lang w:eastAsia="zh-CN"/>
        </w:rPr>
        <w:t>。</w:t>
      </w:r>
    </w:p>
    <w:p>
      <w:pPr>
        <w:pStyle w:val="2"/>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方正仿宋_GBK" w:eastAsia="方正仿宋_GBK"/>
          <w:sz w:val="32"/>
          <w:szCs w:val="32"/>
          <w:lang w:val="en-US" w:eastAsia="zh-CN"/>
        </w:rPr>
      </w:pPr>
      <w:r>
        <w:rPr>
          <w:rFonts w:hint="eastAsia" w:ascii="方正仿宋_GBK" w:eastAsia="方正仿宋_GBK"/>
          <w:sz w:val="32"/>
          <w:szCs w:val="32"/>
          <w:lang w:val="en-US" w:eastAsia="zh-CN"/>
        </w:rPr>
        <w:t>附件：铁桥镇集中式地表水</w:t>
      </w:r>
      <w:r>
        <w:rPr>
          <w:rFonts w:hint="eastAsia" w:ascii="方正仿宋_GBK" w:eastAsia="方正仿宋_GBK" w:hAnsiTheme="minorEastAsia" w:cstheme="minorEastAsia"/>
          <w:bCs/>
          <w:sz w:val="32"/>
          <w:szCs w:val="32"/>
        </w:rPr>
        <w:t>饮用水水源地突发环境事件应急预案</w:t>
      </w:r>
    </w:p>
    <w:p>
      <w:pPr>
        <w:pStyle w:val="2"/>
        <w:keepNext w:val="0"/>
        <w:keepLines w:val="0"/>
        <w:pageBreakBefore w:val="0"/>
        <w:widowControl w:val="0"/>
        <w:kinsoku/>
        <w:wordWrap/>
        <w:overflowPunct/>
        <w:topLinePunct w:val="0"/>
        <w:bidi w:val="0"/>
        <w:snapToGrid/>
        <w:spacing w:line="600" w:lineRule="exact"/>
        <w:jc w:val="right"/>
        <w:textAlignment w:val="auto"/>
        <w:rPr>
          <w:rFonts w:hint="eastAsia" w:ascii="Times New Roman" w:eastAsia="方正仿宋_GBK" w:cs="Times New Roman"/>
          <w:sz w:val="32"/>
          <w:szCs w:val="32"/>
          <w:lang w:val="en-US" w:eastAsia="zh-CN"/>
        </w:rPr>
      </w:pPr>
      <w:r>
        <w:rPr>
          <w:rFonts w:hint="eastAsia" w:ascii="Times New Roman" w:eastAsia="方正仿宋_GBK" w:cs="Times New Roman"/>
          <w:sz w:val="32"/>
          <w:szCs w:val="32"/>
          <w:lang w:val="en-US" w:eastAsia="zh-CN"/>
        </w:rPr>
        <w:t xml:space="preserve">   </w:t>
      </w:r>
    </w:p>
    <w:p>
      <w:pPr>
        <w:pStyle w:val="2"/>
        <w:keepNext w:val="0"/>
        <w:keepLines w:val="0"/>
        <w:pageBreakBefore w:val="0"/>
        <w:widowControl w:val="0"/>
        <w:kinsoku/>
        <w:wordWrap/>
        <w:overflowPunct/>
        <w:topLinePunct w:val="0"/>
        <w:bidi w:val="0"/>
        <w:snapToGrid/>
        <w:spacing w:line="600" w:lineRule="exact"/>
        <w:jc w:val="right"/>
        <w:textAlignment w:val="auto"/>
        <w:rPr>
          <w:rFonts w:hint="eastAsia" w:ascii="Times New Roman" w:eastAsia="方正仿宋_GBK" w:cs="Times New Roman"/>
          <w:sz w:val="32"/>
          <w:szCs w:val="32"/>
          <w:lang w:val="en-US" w:eastAsia="zh-CN"/>
        </w:rPr>
      </w:pPr>
      <w:r>
        <w:drawing>
          <wp:anchor distT="0" distB="0" distL="114300" distR="114300" simplePos="0" relativeHeight="252626944" behindDoc="0" locked="0" layoutInCell="1" allowOverlap="1">
            <wp:simplePos x="0" y="0"/>
            <wp:positionH relativeFrom="column">
              <wp:posOffset>3886200</wp:posOffset>
            </wp:positionH>
            <wp:positionV relativeFrom="paragraph">
              <wp:posOffset>308610</wp:posOffset>
            </wp:positionV>
            <wp:extent cx="1560830" cy="1554480"/>
            <wp:effectExtent l="0" t="0" r="1270" b="7620"/>
            <wp:wrapNone/>
            <wp:docPr id="3" name="图片 3" descr="用户:&lt;%curUser%&gt;&#10;时间:2016-08-10 09:43:13&#10;印章:铁桥镇政府&#10;使用者:sfy&#10;标识:828572A1786A428F2CE21CB874E5DA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用户:&lt;%curUser%&gt;&#10;时间:2016-08-10 09:43:13&#10;印章:铁桥镇政府&#10;使用者:sfy&#10;标识:828572A1786A428F2CE21CB874E5DAB1"/>
                    <pic:cNvPicPr>
                      <a:picLocks noChangeAspect="1"/>
                    </pic:cNvPicPr>
                  </pic:nvPicPr>
                  <pic:blipFill>
                    <a:blip r:embed="rId14">
                      <a:clrChange>
                        <a:clrFrom>
                          <a:srgbClr val="FFFFFF"/>
                        </a:clrFrom>
                        <a:clrTo>
                          <a:srgbClr val="FFFFFF">
                            <a:alpha val="0"/>
                          </a:srgbClr>
                        </a:clrTo>
                      </a:clrChange>
                    </a:blip>
                    <a:stretch>
                      <a:fillRect/>
                    </a:stretch>
                  </pic:blipFill>
                  <pic:spPr>
                    <a:xfrm>
                      <a:off x="0" y="0"/>
                      <a:ext cx="1560830" cy="1554480"/>
                    </a:xfrm>
                    <a:prstGeom prst="rect">
                      <a:avLst/>
                    </a:prstGeom>
                    <a:noFill/>
                    <a:ln>
                      <a:noFill/>
                    </a:ln>
                  </pic:spPr>
                </pic:pic>
              </a:graphicData>
            </a:graphic>
          </wp:anchor>
        </w:drawing>
      </w:r>
    </w:p>
    <w:p>
      <w:pPr>
        <w:pStyle w:val="2"/>
        <w:keepNext w:val="0"/>
        <w:keepLines w:val="0"/>
        <w:pageBreakBefore w:val="0"/>
        <w:widowControl w:val="0"/>
        <w:kinsoku/>
        <w:wordWrap/>
        <w:overflowPunct/>
        <w:topLinePunct w:val="0"/>
        <w:bidi w:val="0"/>
        <w:snapToGrid/>
        <w:spacing w:line="600" w:lineRule="exact"/>
        <w:jc w:val="right"/>
        <w:textAlignment w:val="auto"/>
        <w:rPr>
          <w:rFonts w:hint="eastAsia" w:ascii="Times New Roman" w:eastAsia="方正仿宋_GBK" w:cs="Times New Roman"/>
          <w:sz w:val="32"/>
          <w:szCs w:val="32"/>
          <w:lang w:val="en-US" w:eastAsia="zh-CN"/>
        </w:rPr>
      </w:pPr>
    </w:p>
    <w:p>
      <w:pPr>
        <w:pStyle w:val="2"/>
        <w:keepNext w:val="0"/>
        <w:keepLines w:val="0"/>
        <w:pageBreakBefore w:val="0"/>
        <w:widowControl w:val="0"/>
        <w:kinsoku/>
        <w:wordWrap/>
        <w:overflowPunct/>
        <w:topLinePunct w:val="0"/>
        <w:bidi w:val="0"/>
        <w:snapToGrid/>
        <w:spacing w:line="600" w:lineRule="exact"/>
        <w:jc w:val="right"/>
        <w:textAlignment w:val="auto"/>
        <w:rPr>
          <w:rFonts w:ascii="Times New Roman" w:eastAsia="方正仿宋_GBK" w:cs="Times New Roman"/>
          <w:sz w:val="32"/>
          <w:szCs w:val="32"/>
        </w:rPr>
      </w:pPr>
      <w:r>
        <w:rPr>
          <w:rFonts w:ascii="Times New Roman" w:eastAsia="方正仿宋_GBK" w:cs="Times New Roman"/>
          <w:sz w:val="32"/>
          <w:szCs w:val="32"/>
        </w:rPr>
        <w:t>重庆市开州区</w:t>
      </w:r>
      <w:r>
        <w:rPr>
          <w:rFonts w:hint="eastAsia" w:ascii="Times New Roman" w:eastAsia="方正仿宋_GBK" w:cs="Times New Roman"/>
          <w:sz w:val="32"/>
          <w:szCs w:val="32"/>
          <w:lang w:val="en-US" w:eastAsia="zh-CN"/>
        </w:rPr>
        <w:t>铁桥</w:t>
      </w:r>
      <w:r>
        <w:rPr>
          <w:rFonts w:ascii="Times New Roman" w:eastAsia="方正仿宋_GBK" w:cs="Times New Roman"/>
          <w:sz w:val="32"/>
          <w:szCs w:val="32"/>
        </w:rPr>
        <w:t>镇人民政府</w:t>
      </w:r>
      <w:r>
        <w:rPr>
          <w:rFonts w:hint="eastAsia" w:ascii="Times New Roman" w:eastAsia="方正仿宋_GBK" w:cs="Times New Roman"/>
          <w:sz w:val="32"/>
          <w:szCs w:val="32"/>
        </w:rPr>
        <w:t xml:space="preserve">    </w:t>
      </w:r>
    </w:p>
    <w:p>
      <w:pPr>
        <w:keepNext w:val="0"/>
        <w:keepLines w:val="0"/>
        <w:pageBreakBefore w:val="0"/>
        <w:widowControl w:val="0"/>
        <w:pBdr>
          <w:bottom w:val="none" w:color="auto" w:sz="0" w:space="0"/>
        </w:pBdr>
        <w:kinsoku/>
        <w:wordWrap/>
        <w:overflowPunct/>
        <w:topLinePunct w:val="0"/>
        <w:bidi w:val="0"/>
        <w:snapToGrid/>
        <w:spacing w:line="600" w:lineRule="exact"/>
        <w:jc w:val="right"/>
        <w:textAlignment w:val="auto"/>
        <w:rPr>
          <w:rFonts w:hint="eastAsia" w:ascii="Times New Roman" w:eastAsia="方正仿宋_GBK" w:cs="Times New Roman"/>
          <w:sz w:val="32"/>
          <w:szCs w:val="32"/>
        </w:rPr>
      </w:pPr>
      <w:r>
        <w:rPr>
          <w:rFonts w:hint="eastAsia" w:ascii="Times New Roman" w:eastAsia="方正仿宋_GBK" w:cs="Times New Roman"/>
          <w:sz w:val="32"/>
          <w:szCs w:val="32"/>
        </w:rPr>
        <w:t xml:space="preserve">                            </w:t>
      </w:r>
      <w:r>
        <w:rPr>
          <w:rFonts w:ascii="Times New Roman" w:eastAsia="方正仿宋_GBK" w:cs="Times New Roman"/>
          <w:sz w:val="32"/>
          <w:szCs w:val="32"/>
        </w:rPr>
        <w:t>2020年12月2</w:t>
      </w:r>
      <w:r>
        <w:rPr>
          <w:rFonts w:hint="eastAsia" w:ascii="Times New Roman" w:eastAsia="方正仿宋_GBK" w:cs="Times New Roman"/>
          <w:sz w:val="32"/>
          <w:szCs w:val="32"/>
          <w:lang w:val="en-US" w:eastAsia="zh-CN"/>
        </w:rPr>
        <w:t>4</w:t>
      </w:r>
      <w:r>
        <w:rPr>
          <w:rFonts w:ascii="Times New Roman" w:eastAsia="方正仿宋_GBK" w:cs="Times New Roman"/>
          <w:sz w:val="32"/>
          <w:szCs w:val="32"/>
        </w:rPr>
        <w:t>日</w:t>
      </w:r>
      <w:r>
        <w:rPr>
          <w:rFonts w:hint="eastAsia" w:ascii="Times New Roman" w:eastAsia="方正仿宋_GBK" w:cs="Times New Roman"/>
          <w:sz w:val="32"/>
          <w:szCs w:val="32"/>
        </w:rPr>
        <w:t xml:space="preserve"> </w:t>
      </w:r>
    </w:p>
    <w:p>
      <w:pPr>
        <w:pStyle w:val="2"/>
        <w:rPr>
          <w:rFonts w:hint="eastAsia" w:ascii="Times New Roman" w:eastAsia="方正仿宋_GBK" w:cs="Times New Roman"/>
          <w:sz w:val="32"/>
          <w:szCs w:val="32"/>
        </w:rPr>
      </w:pPr>
    </w:p>
    <w:p>
      <w:pPr>
        <w:pStyle w:val="2"/>
        <w:rPr>
          <w:rFonts w:hint="eastAsia" w:ascii="Times New Roman" w:eastAsia="方正仿宋_GBK" w:cs="Times New Roman"/>
          <w:sz w:val="32"/>
          <w:szCs w:val="32"/>
        </w:rPr>
      </w:pPr>
    </w:p>
    <w:p>
      <w:pPr>
        <w:pStyle w:val="2"/>
        <w:rPr>
          <w:rFonts w:hint="eastAsia" w:ascii="Times New Roman" w:eastAsia="方正仿宋_GBK" w:cs="Times New Roman"/>
          <w:sz w:val="32"/>
          <w:szCs w:val="32"/>
        </w:rPr>
      </w:pPr>
    </w:p>
    <w:p>
      <w:pPr>
        <w:pStyle w:val="2"/>
        <w:rPr>
          <w:rFonts w:hint="eastAsia" w:ascii="Times New Roman" w:eastAsia="方正仿宋_GBK" w:cs="Times New Roman"/>
          <w:sz w:val="32"/>
          <w:szCs w:val="32"/>
        </w:rPr>
      </w:pPr>
    </w:p>
    <w:p>
      <w:pPr>
        <w:pStyle w:val="2"/>
        <w:rPr>
          <w:rFonts w:hint="eastAsia" w:ascii="Times New Roman" w:eastAsia="方正仿宋_GBK" w:cs="Times New Roman"/>
          <w:sz w:val="32"/>
          <w:szCs w:val="32"/>
        </w:rPr>
      </w:pPr>
    </w:p>
    <w:p>
      <w:pPr>
        <w:pStyle w:val="2"/>
        <w:rPr>
          <w:rFonts w:hint="eastAsia" w:ascii="Times New Roman" w:eastAsia="方正仿宋_GBK" w:cs="Times New Roman"/>
          <w:sz w:val="32"/>
          <w:szCs w:val="32"/>
        </w:rPr>
      </w:pPr>
      <w:bookmarkStart w:id="90" w:name="_GoBack"/>
      <w:bookmarkEnd w:id="90"/>
    </w:p>
    <w:p>
      <w:pPr>
        <w:pStyle w:val="2"/>
        <w:rPr>
          <w:rFonts w:hint="eastAsia" w:ascii="Times New Roman" w:eastAsia="方正仿宋_GBK" w:cs="Times New Roman"/>
          <w:sz w:val="32"/>
          <w:szCs w:val="32"/>
        </w:rPr>
      </w:pPr>
    </w:p>
    <w:p>
      <w:pPr>
        <w:pStyle w:val="2"/>
        <w:rPr>
          <w:rFonts w:hint="eastAsia" w:ascii="Times New Roman" w:eastAsia="方正仿宋_GBK" w:cs="Times New Roman"/>
          <w:sz w:val="32"/>
          <w:szCs w:val="32"/>
        </w:rPr>
      </w:pPr>
    </w:p>
    <w:p>
      <w:pPr>
        <w:pStyle w:val="2"/>
        <w:rPr>
          <w:rFonts w:hint="eastAsia" w:ascii="Times New Roman" w:eastAsia="方正仿宋_GBK" w:cs="Times New Roman"/>
          <w:sz w:val="32"/>
          <w:szCs w:val="32"/>
        </w:rPr>
      </w:pPr>
    </w:p>
    <w:p>
      <w:pPr>
        <w:pStyle w:val="2"/>
        <w:rPr>
          <w:rFonts w:hint="eastAsia" w:ascii="Times New Roman" w:eastAsia="方正仿宋_GBK" w:cs="Times New Roman"/>
          <w:sz w:val="32"/>
          <w:szCs w:val="32"/>
        </w:rPr>
      </w:pPr>
    </w:p>
    <w:p>
      <w:pPr>
        <w:pStyle w:val="2"/>
        <w:rPr>
          <w:rFonts w:hint="eastAsia" w:ascii="Times New Roman" w:eastAsia="方正仿宋_GBK" w:cs="Times New Roman"/>
          <w:sz w:val="32"/>
          <w:szCs w:val="32"/>
        </w:rPr>
      </w:pPr>
    </w:p>
    <w:p>
      <w:pPr>
        <w:pStyle w:val="2"/>
        <w:rPr>
          <w:rFonts w:hint="eastAsia" w:ascii="Times New Roman" w:eastAsia="方正仿宋_GBK" w:cs="Times New Roman"/>
          <w:sz w:val="32"/>
          <w:szCs w:val="32"/>
        </w:rPr>
      </w:pPr>
    </w:p>
    <w:p>
      <w:pPr>
        <w:pStyle w:val="2"/>
        <w:keepNext w:val="0"/>
        <w:keepLines w:val="0"/>
        <w:pageBreakBefore w:val="0"/>
        <w:widowControl w:val="0"/>
        <w:pBdr>
          <w:top w:val="single" w:color="auto" w:sz="4" w:space="0"/>
          <w:bottom w:val="single" w:color="auto" w:sz="4" w:space="0"/>
        </w:pBdr>
        <w:kinsoku/>
        <w:wordWrap/>
        <w:overflowPunct/>
        <w:topLinePunct w:val="0"/>
        <w:bidi w:val="0"/>
        <w:snapToGrid/>
        <w:spacing w:line="600" w:lineRule="exact"/>
        <w:ind w:firstLine="280" w:firstLineChars="100"/>
        <w:textAlignment w:val="auto"/>
        <w:rPr>
          <w:rFonts w:hint="default" w:ascii="Times New Roman" w:eastAsia="方正仿宋_GBK" w:cs="Times New Roman"/>
          <w:sz w:val="32"/>
          <w:szCs w:val="32"/>
          <w:lang w:val="en-US" w:eastAsia="zh-CN"/>
        </w:rPr>
      </w:pPr>
      <w:r>
        <w:rPr>
          <w:rFonts w:hint="eastAsia" w:ascii="Times New Roman" w:eastAsia="方正仿宋_GBK" w:cs="Times New Roman"/>
          <w:sz w:val="28"/>
          <w:szCs w:val="28"/>
          <w:lang w:val="en-US" w:eastAsia="zh-CN"/>
        </w:rPr>
        <w:t>重庆市开州区铁桥镇党政办公室             2020年12月24日印发</w:t>
      </w:r>
    </w:p>
    <w:p>
      <w:pPr>
        <w:rPr>
          <w:rFonts w:hint="eastAsia" w:asciiTheme="minorEastAsia" w:hAnsiTheme="minorEastAsia" w:eastAsiaTheme="minorEastAsia" w:cstheme="minorEastAsia"/>
          <w:b/>
          <w:bCs/>
          <w:sz w:val="52"/>
          <w:szCs w:val="52"/>
          <w:lang w:eastAsia="zh-CN"/>
        </w:rPr>
      </w:pPr>
      <w:r>
        <w:rPr>
          <w:rFonts w:hint="eastAsia" w:asciiTheme="minorEastAsia" w:hAnsiTheme="minorEastAsia" w:eastAsiaTheme="minorEastAsia" w:cstheme="minorEastAsia"/>
          <w:b/>
          <w:bCs/>
          <w:sz w:val="52"/>
          <w:szCs w:val="52"/>
          <w:lang w:eastAsia="zh-CN"/>
        </w:rPr>
        <w:br w:type="page"/>
      </w:r>
    </w:p>
    <w:p>
      <w:pPr>
        <w:keepNext/>
        <w:keepLines/>
        <w:pageBreakBefore w:val="0"/>
        <w:widowControl w:val="0"/>
        <w:kinsoku/>
        <w:wordWrap/>
        <w:overflowPunct/>
        <w:topLinePunct w:val="0"/>
        <w:autoSpaceDE/>
        <w:autoSpaceDN/>
        <w:bidi w:val="0"/>
        <w:adjustRightInd/>
        <w:snapToGrid/>
        <w:spacing w:before="0" w:after="0" w:line="360" w:lineRule="auto"/>
        <w:ind w:left="0" w:leftChars="0"/>
        <w:jc w:val="center"/>
        <w:textAlignment w:val="auto"/>
        <w:outlineLvl w:val="9"/>
        <w:rPr>
          <w:rFonts w:hint="eastAsia" w:asciiTheme="minorEastAsia" w:hAnsiTheme="minorEastAsia" w:eastAsiaTheme="minorEastAsia" w:cstheme="minorEastAsia"/>
          <w:b/>
          <w:bCs/>
          <w:sz w:val="52"/>
          <w:szCs w:val="52"/>
          <w:lang w:eastAsia="zh-CN"/>
        </w:rPr>
      </w:pPr>
      <w:r>
        <w:rPr>
          <w:rFonts w:hint="eastAsia" w:asciiTheme="minorEastAsia" w:hAnsiTheme="minorEastAsia" w:eastAsiaTheme="minorEastAsia" w:cstheme="minorEastAsia"/>
          <w:b/>
          <w:bCs/>
          <w:sz w:val="52"/>
          <w:szCs w:val="52"/>
          <w:lang w:eastAsia="zh-CN"/>
        </w:rPr>
        <w:t>重庆市开州区铁桥镇</w:t>
      </w:r>
    </w:p>
    <w:p>
      <w:pPr>
        <w:keepNext/>
        <w:keepLines/>
        <w:pageBreakBefore w:val="0"/>
        <w:widowControl w:val="0"/>
        <w:kinsoku/>
        <w:wordWrap/>
        <w:overflowPunct/>
        <w:topLinePunct w:val="0"/>
        <w:autoSpaceDE/>
        <w:autoSpaceDN/>
        <w:bidi w:val="0"/>
        <w:adjustRightInd/>
        <w:snapToGrid/>
        <w:spacing w:before="0" w:after="0" w:line="360" w:lineRule="auto"/>
        <w:ind w:left="0" w:leftChars="0"/>
        <w:jc w:val="center"/>
        <w:textAlignment w:val="auto"/>
        <w:outlineLvl w:val="9"/>
        <w:rPr>
          <w:rFonts w:hint="eastAsia" w:asciiTheme="minorEastAsia" w:hAnsiTheme="minorEastAsia" w:eastAsiaTheme="minorEastAsia" w:cstheme="minorEastAsia"/>
          <w:b/>
          <w:bCs/>
          <w:sz w:val="52"/>
          <w:szCs w:val="52"/>
          <w:lang w:val="en-US" w:eastAsia="zh-CN"/>
        </w:rPr>
      </w:pPr>
      <w:r>
        <w:rPr>
          <w:rFonts w:hint="eastAsia" w:asciiTheme="minorEastAsia" w:hAnsiTheme="minorEastAsia" w:eastAsiaTheme="minorEastAsia" w:cstheme="minorEastAsia"/>
          <w:b/>
          <w:bCs/>
          <w:sz w:val="52"/>
          <w:szCs w:val="52"/>
          <w:lang w:val="en-US" w:eastAsia="zh-CN"/>
        </w:rPr>
        <w:t>集中式地表水饮用水水源地</w:t>
      </w:r>
    </w:p>
    <w:p>
      <w:pPr>
        <w:keepNext/>
        <w:keepLines/>
        <w:pageBreakBefore w:val="0"/>
        <w:widowControl w:val="0"/>
        <w:kinsoku/>
        <w:wordWrap/>
        <w:overflowPunct/>
        <w:topLinePunct w:val="0"/>
        <w:autoSpaceDE/>
        <w:autoSpaceDN/>
        <w:bidi w:val="0"/>
        <w:adjustRightInd/>
        <w:snapToGrid/>
        <w:spacing w:before="0" w:after="0" w:line="360" w:lineRule="auto"/>
        <w:ind w:left="0" w:leftChars="0"/>
        <w:jc w:val="center"/>
        <w:textAlignment w:val="auto"/>
        <w:outlineLvl w:val="9"/>
        <w:rPr>
          <w:rFonts w:hint="eastAsia"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突发环境事件应急预案</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 xml:space="preserve">                预案编号：</w:t>
      </w:r>
      <w:r>
        <w:rPr>
          <w:rFonts w:hint="eastAsia" w:asciiTheme="minorEastAsia" w:hAnsiTheme="minorEastAsia" w:eastAsiaTheme="minorEastAsia" w:cstheme="minorEastAsia"/>
          <w:sz w:val="28"/>
          <w:szCs w:val="28"/>
          <w:lang w:val="en-US" w:eastAsia="zh-CN"/>
        </w:rPr>
        <w:t xml:space="preserve">TQZYYSYD 2020-1   </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版 本 号：</w:t>
      </w:r>
      <w:r>
        <w:rPr>
          <w:rFonts w:hint="eastAsia" w:asciiTheme="minorEastAsia" w:hAnsiTheme="minorEastAsia" w:eastAsiaTheme="minorEastAsia" w:cstheme="minorEastAsia"/>
          <w:sz w:val="28"/>
          <w:szCs w:val="28"/>
          <w:lang w:val="en-US" w:eastAsia="zh-CN"/>
        </w:rPr>
        <w:t>2020-1</w:t>
      </w:r>
      <w:r>
        <w:rPr>
          <w:rFonts w:hint="eastAsia" w:asciiTheme="minorEastAsia" w:hAnsiTheme="minorEastAsia" w:eastAsiaTheme="minorEastAsia" w:cstheme="minorEastAsia"/>
          <w:sz w:val="28"/>
          <w:szCs w:val="28"/>
        </w:rPr>
        <w:t xml:space="preserve">   </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default"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 颁布日期：</w:t>
      </w:r>
      <w:r>
        <w:rPr>
          <w:rFonts w:hint="eastAsia" w:asciiTheme="minorEastAsia" w:hAnsiTheme="minorEastAsia" w:eastAsiaTheme="minorEastAsia" w:cstheme="minorEastAsia"/>
          <w:sz w:val="28"/>
          <w:szCs w:val="28"/>
          <w:lang w:val="en-US" w:eastAsia="zh-CN"/>
        </w:rPr>
        <w:t>2020年12月24日</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eastAsia="zh-CN"/>
        </w:rPr>
        <w:t>重庆市开州区铁桥镇</w:t>
      </w:r>
      <w:r>
        <w:rPr>
          <w:rFonts w:hint="eastAsia" w:asciiTheme="minorEastAsia" w:hAnsiTheme="minorEastAsia" w:eastAsiaTheme="minorEastAsia" w:cstheme="minorEastAsia"/>
          <w:b/>
          <w:bCs/>
          <w:sz w:val="32"/>
          <w:szCs w:val="32"/>
          <w:lang w:val="en-US" w:eastAsia="zh-CN"/>
        </w:rPr>
        <w:t>人民政府</w:t>
      </w:r>
    </w:p>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b/>
          <w:bCs/>
          <w:sz w:val="32"/>
          <w:szCs w:val="32"/>
        </w:rPr>
        <w:sectPr>
          <w:footerReference r:id="rId6" w:type="first"/>
          <w:headerReference r:id="rId3" w:type="default"/>
          <w:footerReference r:id="rId4" w:type="default"/>
          <w:footerReference r:id="rId5" w:type="even"/>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r>
        <w:rPr>
          <w:rFonts w:hint="eastAsia" w:asciiTheme="minorEastAsia" w:hAnsiTheme="minorEastAsia" w:eastAsiaTheme="minorEastAsia" w:cstheme="minorEastAsia"/>
          <w:b/>
          <w:bCs/>
          <w:sz w:val="32"/>
          <w:szCs w:val="32"/>
          <w:lang w:val="en-US" w:eastAsia="zh-CN"/>
        </w:rPr>
        <w:t>2020</w:t>
      </w:r>
      <w:r>
        <w:rPr>
          <w:rFonts w:hint="eastAsia" w:asciiTheme="minorEastAsia" w:hAnsiTheme="minorEastAsia" w:eastAsiaTheme="minorEastAsia" w:cstheme="minorEastAsia"/>
          <w:b/>
          <w:bCs/>
          <w:sz w:val="32"/>
          <w:szCs w:val="32"/>
        </w:rPr>
        <w:t>年</w:t>
      </w:r>
      <w:r>
        <w:rPr>
          <w:rFonts w:hint="eastAsia" w:asciiTheme="minorEastAsia" w:hAnsiTheme="minorEastAsia" w:eastAsiaTheme="minorEastAsia" w:cstheme="minorEastAsia"/>
          <w:b/>
          <w:bCs/>
          <w:sz w:val="32"/>
          <w:szCs w:val="32"/>
          <w:lang w:val="en-US" w:eastAsia="zh-CN"/>
        </w:rPr>
        <w:t>11</w:t>
      </w:r>
      <w:r>
        <w:rPr>
          <w:rFonts w:hint="eastAsia" w:asciiTheme="minorEastAsia" w:hAnsiTheme="minorEastAsia" w:eastAsiaTheme="minorEastAsia" w:cstheme="minorEastAsia"/>
          <w:b/>
          <w:bCs/>
          <w:sz w:val="32"/>
          <w:szCs w:val="32"/>
        </w:rPr>
        <w:t>月</w:t>
      </w:r>
    </w:p>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目</w:t>
      </w: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rPr>
        <w:t>录</w:t>
      </w:r>
    </w:p>
    <w:p>
      <w:pPr>
        <w:pStyle w:val="11"/>
        <w:tabs>
          <w:tab w:val="right" w:leader="dot" w:pos="9026"/>
        </w:tabs>
      </w:pP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TOC \o "1-2" \h \u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_Toc8318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32"/>
        </w:rPr>
        <w:t>1 总则</w:t>
      </w:r>
      <w:r>
        <w:tab/>
      </w:r>
      <w:r>
        <w:fldChar w:fldCharType="begin"/>
      </w:r>
      <w:r>
        <w:instrText xml:space="preserve"> PAGEREF _Toc8318 </w:instrText>
      </w:r>
      <w:r>
        <w:fldChar w:fldCharType="separate"/>
      </w:r>
      <w:r>
        <w:t>1</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_Toc21852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zh-CN"/>
        </w:rPr>
        <w:t>1.1 编制目的</w:t>
      </w:r>
      <w:r>
        <w:tab/>
      </w:r>
      <w:r>
        <w:fldChar w:fldCharType="begin"/>
      </w:r>
      <w:r>
        <w:instrText xml:space="preserve"> PAGEREF _Toc21852 </w:instrText>
      </w:r>
      <w:r>
        <w:fldChar w:fldCharType="separate"/>
      </w:r>
      <w:r>
        <w:t>1</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_Toc31055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zh-CN"/>
        </w:rPr>
        <w:t>1.2 编制依据</w:t>
      </w:r>
      <w:r>
        <w:tab/>
      </w:r>
      <w:r>
        <w:fldChar w:fldCharType="begin"/>
      </w:r>
      <w:r>
        <w:instrText xml:space="preserve"> PAGEREF _Toc31055 </w:instrText>
      </w:r>
      <w:r>
        <w:fldChar w:fldCharType="separate"/>
      </w:r>
      <w:r>
        <w:t>1</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_Toc13441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1.3 适用范围</w:t>
      </w:r>
      <w:r>
        <w:tab/>
      </w:r>
      <w:r>
        <w:fldChar w:fldCharType="begin"/>
      </w:r>
      <w:r>
        <w:instrText xml:space="preserve"> PAGEREF _Toc13441 </w:instrText>
      </w:r>
      <w:r>
        <w:fldChar w:fldCharType="separate"/>
      </w:r>
      <w:r>
        <w:t>3</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_Toc439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zh-CN" w:eastAsia="zh-CN"/>
        </w:rPr>
        <w:t>1.</w:t>
      </w:r>
      <w:r>
        <w:rPr>
          <w:rFonts w:hint="eastAsia" w:asciiTheme="minorEastAsia" w:hAnsiTheme="minorEastAsia" w:eastAsiaTheme="minorEastAsia" w:cstheme="minorEastAsia"/>
          <w:bCs/>
          <w:szCs w:val="28"/>
          <w:lang w:val="en-US" w:eastAsia="zh-CN"/>
        </w:rPr>
        <w:t>4</w:t>
      </w:r>
      <w:r>
        <w:rPr>
          <w:rFonts w:hint="eastAsia" w:asciiTheme="minorEastAsia" w:hAnsiTheme="minorEastAsia" w:eastAsiaTheme="minorEastAsia" w:cstheme="minorEastAsia"/>
          <w:bCs/>
          <w:szCs w:val="28"/>
          <w:lang w:val="zh-CN" w:eastAsia="zh-CN"/>
        </w:rPr>
        <w:t xml:space="preserve"> 应急预案体系</w:t>
      </w:r>
      <w:r>
        <w:tab/>
      </w:r>
      <w:r>
        <w:fldChar w:fldCharType="begin"/>
      </w:r>
      <w:r>
        <w:instrText xml:space="preserve"> PAGEREF _Toc439 </w:instrText>
      </w:r>
      <w:r>
        <w:fldChar w:fldCharType="separate"/>
      </w:r>
      <w:r>
        <w:t>4</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_Toc483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zh-CN" w:eastAsia="zh-CN"/>
        </w:rPr>
        <w:t>1.</w:t>
      </w:r>
      <w:r>
        <w:rPr>
          <w:rFonts w:hint="eastAsia" w:asciiTheme="minorEastAsia" w:hAnsiTheme="minorEastAsia" w:eastAsiaTheme="minorEastAsia" w:cstheme="minorEastAsia"/>
          <w:bCs/>
          <w:szCs w:val="28"/>
          <w:lang w:val="en-US" w:eastAsia="zh-CN"/>
        </w:rPr>
        <w:t>5</w:t>
      </w:r>
      <w:r>
        <w:rPr>
          <w:rFonts w:hint="eastAsia" w:asciiTheme="minorEastAsia" w:hAnsiTheme="minorEastAsia" w:eastAsiaTheme="minorEastAsia" w:cstheme="minorEastAsia"/>
          <w:bCs/>
          <w:szCs w:val="28"/>
          <w:lang w:val="zh-CN" w:eastAsia="zh-CN"/>
        </w:rPr>
        <w:t xml:space="preserve"> 工作原则</w:t>
      </w:r>
      <w:r>
        <w:tab/>
      </w:r>
      <w:r>
        <w:fldChar w:fldCharType="begin"/>
      </w:r>
      <w:r>
        <w:instrText xml:space="preserve"> PAGEREF _Toc483 </w:instrText>
      </w:r>
      <w:r>
        <w:fldChar w:fldCharType="separate"/>
      </w:r>
      <w:r>
        <w:t>4</w:t>
      </w:r>
      <w:r>
        <w:fldChar w:fldCharType="end"/>
      </w:r>
      <w:r>
        <w:rPr>
          <w:rFonts w:hint="eastAsia" w:asciiTheme="minorEastAsia" w:hAnsiTheme="minorEastAsia" w:eastAsiaTheme="minorEastAsia" w:cstheme="minorEastAsia"/>
          <w:szCs w:val="28"/>
          <w:lang w:val="en-US" w:eastAsia="zh-CN"/>
        </w:rPr>
        <w:fldChar w:fldCharType="end"/>
      </w:r>
    </w:p>
    <w:p>
      <w:pPr>
        <w:pStyle w:val="11"/>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_Toc23909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32"/>
          <w:lang w:val="en-US" w:eastAsia="zh-CN"/>
        </w:rPr>
        <w:t>2水源地基本信息</w:t>
      </w:r>
      <w:r>
        <w:tab/>
      </w:r>
      <w:r>
        <w:fldChar w:fldCharType="begin"/>
      </w:r>
      <w:r>
        <w:instrText xml:space="preserve"> PAGEREF _Toc23909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_Toc15487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2.1水源地基本信息</w:t>
      </w:r>
      <w:r>
        <w:tab/>
      </w:r>
      <w:r>
        <w:fldChar w:fldCharType="begin"/>
      </w:r>
      <w:r>
        <w:instrText xml:space="preserve"> PAGEREF _Toc15487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_Toc31043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2.2水源地取水情况</w:t>
      </w:r>
      <w:r>
        <w:tab/>
      </w:r>
      <w:r>
        <w:fldChar w:fldCharType="begin"/>
      </w:r>
      <w:r>
        <w:instrText xml:space="preserve"> PAGEREF _Toc31043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_Toc26607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2.3饮用水水源保护区</w:t>
      </w:r>
      <w:r>
        <w:tab/>
      </w:r>
      <w:r>
        <w:fldChar w:fldCharType="begin"/>
      </w:r>
      <w:r>
        <w:instrText xml:space="preserve"> PAGEREF _Toc26607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_Toc21367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2.4规范性建设</w:t>
      </w:r>
      <w:r>
        <w:tab/>
      </w:r>
      <w:r>
        <w:fldChar w:fldCharType="begin"/>
      </w:r>
      <w:r>
        <w:instrText xml:space="preserve"> PAGEREF _Toc21367 </w:instrText>
      </w:r>
      <w:r>
        <w:fldChar w:fldCharType="separate"/>
      </w:r>
      <w:r>
        <w:t>7</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_Toc29780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2.5水源水质情况</w:t>
      </w:r>
      <w:r>
        <w:tab/>
      </w:r>
      <w:r>
        <w:fldChar w:fldCharType="begin"/>
      </w:r>
      <w:r>
        <w:instrText xml:space="preserve"> PAGEREF _Toc29780 </w:instrText>
      </w:r>
      <w:r>
        <w:fldChar w:fldCharType="separate"/>
      </w:r>
      <w:r>
        <w:t>7</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_Toc14070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2.6水源地环境风险</w:t>
      </w:r>
      <w:r>
        <w:tab/>
      </w:r>
      <w:r>
        <w:fldChar w:fldCharType="begin"/>
      </w:r>
      <w:r>
        <w:instrText xml:space="preserve"> PAGEREF _Toc14070 </w:instrText>
      </w:r>
      <w:r>
        <w:fldChar w:fldCharType="separate"/>
      </w:r>
      <w:r>
        <w:t>7</w:t>
      </w:r>
      <w:r>
        <w:fldChar w:fldCharType="end"/>
      </w:r>
      <w:r>
        <w:rPr>
          <w:rFonts w:hint="eastAsia" w:asciiTheme="minorEastAsia" w:hAnsiTheme="minorEastAsia" w:eastAsiaTheme="minorEastAsia" w:cstheme="minorEastAsia"/>
          <w:szCs w:val="28"/>
          <w:lang w:val="en-US" w:eastAsia="zh-CN"/>
        </w:rPr>
        <w:fldChar w:fldCharType="end"/>
      </w:r>
    </w:p>
    <w:p>
      <w:pPr>
        <w:pStyle w:val="11"/>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_Toc10220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32"/>
          <w:lang w:val="en-US" w:eastAsia="zh-CN"/>
        </w:rPr>
        <w:t>3 应急组织指挥体系</w:t>
      </w:r>
      <w:r>
        <w:tab/>
      </w:r>
      <w:r>
        <w:fldChar w:fldCharType="begin"/>
      </w:r>
      <w:r>
        <w:instrText xml:space="preserve"> PAGEREF _Toc10220 </w:instrText>
      </w:r>
      <w:r>
        <w:fldChar w:fldCharType="separate"/>
      </w:r>
      <w:r>
        <w:t>8</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_Toc28195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3.1 应急组织指挥机构</w:t>
      </w:r>
      <w:r>
        <w:tab/>
      </w:r>
      <w:r>
        <w:fldChar w:fldCharType="begin"/>
      </w:r>
      <w:r>
        <w:instrText xml:space="preserve"> PAGEREF _Toc28195 </w:instrText>
      </w:r>
      <w:r>
        <w:fldChar w:fldCharType="separate"/>
      </w:r>
      <w:r>
        <w:t>8</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_Toc17703 </w:instrText>
      </w:r>
      <w:r>
        <w:rPr>
          <w:rFonts w:hint="eastAsia" w:asciiTheme="minorEastAsia" w:hAnsiTheme="minorEastAsia" w:eastAsiaTheme="minorEastAsia" w:cstheme="minorEastAsia"/>
          <w:szCs w:val="28"/>
          <w:lang w:val="en-US" w:eastAsia="zh-CN"/>
        </w:rPr>
        <w:fldChar w:fldCharType="separate"/>
      </w:r>
      <w:r>
        <w:rPr>
          <w:rFonts w:hint="eastAsia"/>
          <w:bCs/>
          <w:szCs w:val="28"/>
          <w:lang w:val="en-US" w:eastAsia="zh-CN"/>
        </w:rPr>
        <w:t>3.2各部门常态职责：</w:t>
      </w:r>
      <w:r>
        <w:tab/>
      </w:r>
      <w:r>
        <w:fldChar w:fldCharType="begin"/>
      </w:r>
      <w:r>
        <w:instrText xml:space="preserve"> PAGEREF _Toc17703 </w:instrText>
      </w:r>
      <w:r>
        <w:fldChar w:fldCharType="separate"/>
      </w:r>
      <w:r>
        <w:t>11</w:t>
      </w:r>
      <w:r>
        <w:fldChar w:fldCharType="end"/>
      </w:r>
      <w:r>
        <w:rPr>
          <w:rFonts w:hint="eastAsia" w:asciiTheme="minorEastAsia" w:hAnsiTheme="minorEastAsia" w:eastAsiaTheme="minorEastAsia" w:cstheme="minorEastAsia"/>
          <w:szCs w:val="28"/>
          <w:lang w:val="en-US" w:eastAsia="zh-CN"/>
        </w:rPr>
        <w:fldChar w:fldCharType="end"/>
      </w:r>
    </w:p>
    <w:p>
      <w:pPr>
        <w:pStyle w:val="11"/>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_Toc9304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32"/>
          <w:lang w:val="en-US" w:eastAsia="zh-CN"/>
        </w:rPr>
        <w:t>4应急响</w:t>
      </w:r>
      <w:r>
        <w:rPr>
          <w:rFonts w:hint="eastAsia" w:asciiTheme="minorEastAsia" w:hAnsiTheme="minorEastAsia" w:eastAsiaTheme="minorEastAsia" w:cstheme="minorEastAsia"/>
          <w:bCs/>
          <w:szCs w:val="32"/>
        </w:rPr>
        <w:t>应</w:t>
      </w:r>
      <w:r>
        <w:tab/>
      </w:r>
      <w:r>
        <w:fldChar w:fldCharType="begin"/>
      </w:r>
      <w:r>
        <w:instrText xml:space="preserve"> PAGEREF _Toc9304 </w:instrText>
      </w:r>
      <w:r>
        <w:fldChar w:fldCharType="separate"/>
      </w:r>
      <w:r>
        <w:t>14</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_Toc30335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4.1预警</w:t>
      </w:r>
      <w:r>
        <w:tab/>
      </w:r>
      <w:r>
        <w:fldChar w:fldCharType="begin"/>
      </w:r>
      <w:r>
        <w:instrText xml:space="preserve"> PAGEREF _Toc30335 </w:instrText>
      </w:r>
      <w:r>
        <w:fldChar w:fldCharType="separate"/>
      </w:r>
      <w:r>
        <w:t>15</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_Toc7047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4.2</w:t>
      </w:r>
      <w:r>
        <w:rPr>
          <w:rFonts w:hint="eastAsia" w:asciiTheme="minorEastAsia" w:hAnsiTheme="minorEastAsia" w:eastAsiaTheme="minorEastAsia" w:cstheme="minorEastAsia"/>
          <w:bCs/>
          <w:szCs w:val="28"/>
          <w:lang w:val="zh-CN"/>
        </w:rPr>
        <w:t>信息报告与通报</w:t>
      </w:r>
      <w:r>
        <w:tab/>
      </w:r>
      <w:r>
        <w:fldChar w:fldCharType="begin"/>
      </w:r>
      <w:r>
        <w:instrText xml:space="preserve"> PAGEREF _Toc7047 </w:instrText>
      </w:r>
      <w:r>
        <w:fldChar w:fldCharType="separate"/>
      </w:r>
      <w:r>
        <w:t>18</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_Toc23011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4.3</w:t>
      </w:r>
      <w:r>
        <w:rPr>
          <w:rFonts w:hint="eastAsia" w:asciiTheme="minorEastAsia" w:hAnsiTheme="minorEastAsia" w:eastAsiaTheme="minorEastAsia" w:cstheme="minorEastAsia"/>
          <w:bCs/>
          <w:szCs w:val="28"/>
          <w:lang w:val="zh-CN"/>
        </w:rPr>
        <w:t>事态跟踪研判</w:t>
      </w:r>
      <w:r>
        <w:tab/>
      </w:r>
      <w:r>
        <w:fldChar w:fldCharType="begin"/>
      </w:r>
      <w:r>
        <w:instrText xml:space="preserve"> PAGEREF _Toc23011 </w:instrText>
      </w:r>
      <w:r>
        <w:fldChar w:fldCharType="separate"/>
      </w:r>
      <w:r>
        <w:t>20</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_Toc22183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4.4</w:t>
      </w:r>
      <w:r>
        <w:rPr>
          <w:rFonts w:hint="eastAsia" w:asciiTheme="minorEastAsia" w:hAnsiTheme="minorEastAsia" w:eastAsiaTheme="minorEastAsia" w:cstheme="minorEastAsia"/>
          <w:bCs/>
          <w:szCs w:val="28"/>
          <w:lang w:val="zh-CN"/>
        </w:rPr>
        <w:t>应急监测</w:t>
      </w:r>
      <w:r>
        <w:tab/>
      </w:r>
      <w:r>
        <w:fldChar w:fldCharType="begin"/>
      </w:r>
      <w:r>
        <w:instrText xml:space="preserve"> PAGEREF _Toc22183 </w:instrText>
      </w:r>
      <w:r>
        <w:fldChar w:fldCharType="separate"/>
      </w:r>
      <w:r>
        <w:t>21</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_Toc14401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4.5污染</w:t>
      </w:r>
      <w:r>
        <w:rPr>
          <w:rFonts w:hint="eastAsia" w:asciiTheme="minorEastAsia" w:hAnsiTheme="minorEastAsia" w:eastAsiaTheme="minorEastAsia" w:cstheme="minorEastAsia"/>
          <w:bCs/>
          <w:szCs w:val="28"/>
          <w:lang w:val="zh-CN"/>
        </w:rPr>
        <w:t>源排查与处置</w:t>
      </w:r>
      <w:r>
        <w:tab/>
      </w:r>
      <w:r>
        <w:fldChar w:fldCharType="begin"/>
      </w:r>
      <w:r>
        <w:instrText xml:space="preserve"> PAGEREF _Toc14401 </w:instrText>
      </w:r>
      <w:r>
        <w:fldChar w:fldCharType="separate"/>
      </w:r>
      <w:r>
        <w:t>23</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_Toc19828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4.6</w:t>
      </w:r>
      <w:r>
        <w:rPr>
          <w:rFonts w:hint="eastAsia" w:asciiTheme="minorEastAsia" w:hAnsiTheme="minorEastAsia" w:eastAsiaTheme="minorEastAsia" w:cstheme="minorEastAsia"/>
          <w:bCs/>
          <w:szCs w:val="28"/>
          <w:lang w:val="zh-CN"/>
        </w:rPr>
        <w:t>应急处置</w:t>
      </w:r>
      <w:r>
        <w:tab/>
      </w:r>
      <w:r>
        <w:fldChar w:fldCharType="begin"/>
      </w:r>
      <w:r>
        <w:instrText xml:space="preserve"> PAGEREF _Toc19828 </w:instrText>
      </w:r>
      <w:r>
        <w:fldChar w:fldCharType="separate"/>
      </w:r>
      <w:r>
        <w:t>25</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_Toc23237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4.7</w:t>
      </w:r>
      <w:r>
        <w:rPr>
          <w:rFonts w:hint="eastAsia" w:asciiTheme="minorEastAsia" w:hAnsiTheme="minorEastAsia" w:eastAsiaTheme="minorEastAsia" w:cstheme="minorEastAsia"/>
          <w:bCs/>
          <w:szCs w:val="28"/>
          <w:lang w:val="zh-CN"/>
        </w:rPr>
        <w:t>物资调集及应急设施启用</w:t>
      </w:r>
      <w:r>
        <w:tab/>
      </w:r>
      <w:r>
        <w:fldChar w:fldCharType="begin"/>
      </w:r>
      <w:r>
        <w:instrText xml:space="preserve"> PAGEREF _Toc23237 </w:instrText>
      </w:r>
      <w:r>
        <w:fldChar w:fldCharType="separate"/>
      </w:r>
      <w:r>
        <w:t>28</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_Toc6981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4.8</w:t>
      </w:r>
      <w:r>
        <w:rPr>
          <w:rFonts w:hint="eastAsia" w:asciiTheme="minorEastAsia" w:hAnsiTheme="minorEastAsia" w:eastAsiaTheme="minorEastAsia" w:cstheme="minorEastAsia"/>
          <w:bCs/>
          <w:szCs w:val="28"/>
          <w:lang w:val="zh-CN"/>
        </w:rPr>
        <w:t>舆情监测与信息发布</w:t>
      </w:r>
      <w:r>
        <w:tab/>
      </w:r>
      <w:r>
        <w:fldChar w:fldCharType="begin"/>
      </w:r>
      <w:r>
        <w:instrText xml:space="preserve"> PAGEREF _Toc6981 </w:instrText>
      </w:r>
      <w:r>
        <w:fldChar w:fldCharType="separate"/>
      </w:r>
      <w:r>
        <w:t>28</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_Toc29405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4.9响应终</w:t>
      </w:r>
      <w:r>
        <w:rPr>
          <w:rFonts w:hint="eastAsia" w:asciiTheme="minorEastAsia" w:hAnsiTheme="minorEastAsia" w:eastAsiaTheme="minorEastAsia" w:cstheme="minorEastAsia"/>
          <w:bCs/>
          <w:szCs w:val="28"/>
          <w:lang w:val="zh-CN"/>
        </w:rPr>
        <w:t>止</w:t>
      </w:r>
      <w:r>
        <w:tab/>
      </w:r>
      <w:r>
        <w:fldChar w:fldCharType="begin"/>
      </w:r>
      <w:r>
        <w:instrText xml:space="preserve"> PAGEREF _Toc29405 </w:instrText>
      </w:r>
      <w:r>
        <w:fldChar w:fldCharType="separate"/>
      </w:r>
      <w:r>
        <w:t>28</w:t>
      </w:r>
      <w:r>
        <w:fldChar w:fldCharType="end"/>
      </w:r>
      <w:r>
        <w:rPr>
          <w:rFonts w:hint="eastAsia" w:asciiTheme="minorEastAsia" w:hAnsiTheme="minorEastAsia" w:eastAsiaTheme="minorEastAsia" w:cstheme="minorEastAsia"/>
          <w:szCs w:val="28"/>
          <w:lang w:val="en-US" w:eastAsia="zh-CN"/>
        </w:rPr>
        <w:fldChar w:fldCharType="end"/>
      </w:r>
    </w:p>
    <w:p>
      <w:pPr>
        <w:pStyle w:val="11"/>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_Toc26998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32"/>
          <w:lang w:val="en-US" w:eastAsia="zh-CN"/>
        </w:rPr>
        <w:t>5</w:t>
      </w:r>
      <w:r>
        <w:rPr>
          <w:rFonts w:hint="eastAsia" w:asciiTheme="minorEastAsia" w:hAnsiTheme="minorEastAsia" w:eastAsiaTheme="minorEastAsia" w:cstheme="minorEastAsia"/>
          <w:bCs/>
          <w:szCs w:val="32"/>
        </w:rPr>
        <w:t>后期工作</w:t>
      </w:r>
      <w:r>
        <w:tab/>
      </w:r>
      <w:r>
        <w:fldChar w:fldCharType="begin"/>
      </w:r>
      <w:r>
        <w:instrText xml:space="preserve"> PAGEREF _Toc26998 </w:instrText>
      </w:r>
      <w:r>
        <w:fldChar w:fldCharType="separate"/>
      </w:r>
      <w:r>
        <w:t>30</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_Toc29562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5.1</w:t>
      </w:r>
      <w:r>
        <w:rPr>
          <w:rFonts w:hint="eastAsia" w:asciiTheme="minorEastAsia" w:hAnsiTheme="minorEastAsia" w:eastAsiaTheme="minorEastAsia" w:cstheme="minorEastAsia"/>
          <w:bCs/>
          <w:szCs w:val="28"/>
          <w:lang w:val="zh-CN"/>
        </w:rPr>
        <w:t>后期防控</w:t>
      </w:r>
      <w:r>
        <w:tab/>
      </w:r>
      <w:r>
        <w:fldChar w:fldCharType="begin"/>
      </w:r>
      <w:r>
        <w:instrText xml:space="preserve"> PAGEREF _Toc29562 </w:instrText>
      </w:r>
      <w:r>
        <w:fldChar w:fldCharType="separate"/>
      </w:r>
      <w:r>
        <w:t>30</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_Toc6709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5.2</w:t>
      </w:r>
      <w:r>
        <w:rPr>
          <w:rFonts w:hint="eastAsia" w:asciiTheme="minorEastAsia" w:hAnsiTheme="minorEastAsia" w:eastAsiaTheme="minorEastAsia" w:cstheme="minorEastAsia"/>
          <w:bCs/>
          <w:szCs w:val="28"/>
          <w:lang w:val="zh-CN"/>
        </w:rPr>
        <w:t>事件调查</w:t>
      </w:r>
      <w:r>
        <w:tab/>
      </w:r>
      <w:r>
        <w:fldChar w:fldCharType="begin"/>
      </w:r>
      <w:r>
        <w:instrText xml:space="preserve"> PAGEREF _Toc6709 </w:instrText>
      </w:r>
      <w:r>
        <w:fldChar w:fldCharType="separate"/>
      </w:r>
      <w:r>
        <w:t>30</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_Toc27936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5.3损害评估</w:t>
      </w:r>
      <w:r>
        <w:tab/>
      </w:r>
      <w:r>
        <w:fldChar w:fldCharType="begin"/>
      </w:r>
      <w:r>
        <w:instrText xml:space="preserve"> PAGEREF _Toc27936 </w:instrText>
      </w:r>
      <w:r>
        <w:fldChar w:fldCharType="separate"/>
      </w:r>
      <w:r>
        <w:t>30</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_Toc7865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5.4善后处置</w:t>
      </w:r>
      <w:r>
        <w:tab/>
      </w:r>
      <w:r>
        <w:fldChar w:fldCharType="begin"/>
      </w:r>
      <w:r>
        <w:instrText xml:space="preserve"> PAGEREF _Toc7865 </w:instrText>
      </w:r>
      <w:r>
        <w:fldChar w:fldCharType="separate"/>
      </w:r>
      <w:r>
        <w:t>31</w:t>
      </w:r>
      <w:r>
        <w:fldChar w:fldCharType="end"/>
      </w:r>
      <w:r>
        <w:rPr>
          <w:rFonts w:hint="eastAsia" w:asciiTheme="minorEastAsia" w:hAnsiTheme="minorEastAsia" w:eastAsiaTheme="minorEastAsia" w:cstheme="minorEastAsia"/>
          <w:szCs w:val="28"/>
          <w:lang w:val="en-US" w:eastAsia="zh-CN"/>
        </w:rPr>
        <w:fldChar w:fldCharType="end"/>
      </w:r>
    </w:p>
    <w:p>
      <w:pPr>
        <w:pStyle w:val="11"/>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_Toc19404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32"/>
          <w:lang w:val="en-US" w:eastAsia="zh-CN"/>
        </w:rPr>
        <w:t>6</w:t>
      </w:r>
      <w:r>
        <w:rPr>
          <w:rFonts w:hint="eastAsia" w:asciiTheme="minorEastAsia" w:hAnsiTheme="minorEastAsia" w:eastAsiaTheme="minorEastAsia" w:cstheme="minorEastAsia"/>
          <w:bCs/>
          <w:szCs w:val="32"/>
        </w:rPr>
        <w:t>应急保障</w:t>
      </w:r>
      <w:r>
        <w:tab/>
      </w:r>
      <w:r>
        <w:fldChar w:fldCharType="begin"/>
      </w:r>
      <w:r>
        <w:instrText xml:space="preserve"> PAGEREF _Toc19404 </w:instrText>
      </w:r>
      <w:r>
        <w:fldChar w:fldCharType="separate"/>
      </w:r>
      <w:r>
        <w:t>32</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_Toc31787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6.1</w:t>
      </w:r>
      <w:r>
        <w:rPr>
          <w:rFonts w:hint="eastAsia" w:asciiTheme="minorEastAsia" w:hAnsiTheme="minorEastAsia" w:eastAsiaTheme="minorEastAsia" w:cstheme="minorEastAsia"/>
          <w:bCs/>
          <w:szCs w:val="28"/>
          <w:lang w:val="zh-CN"/>
        </w:rPr>
        <w:t>通讯与信息保障</w:t>
      </w:r>
      <w:r>
        <w:tab/>
      </w:r>
      <w:r>
        <w:fldChar w:fldCharType="begin"/>
      </w:r>
      <w:r>
        <w:instrText xml:space="preserve"> PAGEREF _Toc31787 </w:instrText>
      </w:r>
      <w:r>
        <w:fldChar w:fldCharType="separate"/>
      </w:r>
      <w:r>
        <w:t>32</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_Toc3257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6.2</w:t>
      </w:r>
      <w:r>
        <w:rPr>
          <w:rFonts w:hint="eastAsia" w:asciiTheme="minorEastAsia" w:hAnsiTheme="minorEastAsia" w:eastAsiaTheme="minorEastAsia" w:cstheme="minorEastAsia"/>
          <w:bCs/>
          <w:szCs w:val="28"/>
          <w:lang w:val="zh-CN"/>
        </w:rPr>
        <w:t>应急队伍保障</w:t>
      </w:r>
      <w:r>
        <w:tab/>
      </w:r>
      <w:r>
        <w:fldChar w:fldCharType="begin"/>
      </w:r>
      <w:r>
        <w:instrText xml:space="preserve"> PAGEREF _Toc3257 </w:instrText>
      </w:r>
      <w:r>
        <w:fldChar w:fldCharType="separate"/>
      </w:r>
      <w:r>
        <w:t>32</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_Toc23745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6.3应急资源保障</w:t>
      </w:r>
      <w:r>
        <w:tab/>
      </w:r>
      <w:r>
        <w:fldChar w:fldCharType="begin"/>
      </w:r>
      <w:r>
        <w:instrText xml:space="preserve"> PAGEREF _Toc23745 </w:instrText>
      </w:r>
      <w:r>
        <w:fldChar w:fldCharType="separate"/>
      </w:r>
      <w:r>
        <w:t>33</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_Toc29569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6.4经费保障</w:t>
      </w:r>
      <w:r>
        <w:tab/>
      </w:r>
      <w:r>
        <w:fldChar w:fldCharType="begin"/>
      </w:r>
      <w:r>
        <w:instrText xml:space="preserve"> PAGEREF _Toc29569 </w:instrText>
      </w:r>
      <w:r>
        <w:fldChar w:fldCharType="separate"/>
      </w:r>
      <w:r>
        <w:t>33</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_Toc14053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6.5其他保障</w:t>
      </w:r>
      <w:r>
        <w:tab/>
      </w:r>
      <w:r>
        <w:fldChar w:fldCharType="begin"/>
      </w:r>
      <w:r>
        <w:instrText xml:space="preserve"> PAGEREF _Toc14053 </w:instrText>
      </w:r>
      <w:r>
        <w:fldChar w:fldCharType="separate"/>
      </w:r>
      <w:r>
        <w:t>33</w:t>
      </w:r>
      <w:r>
        <w:fldChar w:fldCharType="end"/>
      </w:r>
      <w:r>
        <w:rPr>
          <w:rFonts w:hint="eastAsia" w:asciiTheme="minorEastAsia" w:hAnsiTheme="minorEastAsia" w:eastAsiaTheme="minorEastAsia" w:cstheme="minorEastAsia"/>
          <w:szCs w:val="28"/>
          <w:lang w:val="en-US" w:eastAsia="zh-CN"/>
        </w:rPr>
        <w:fldChar w:fldCharType="end"/>
      </w:r>
    </w:p>
    <w:p>
      <w:pPr>
        <w:pStyle w:val="11"/>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_Toc16701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32"/>
          <w:lang w:val="en-US" w:eastAsia="zh-CN"/>
        </w:rPr>
        <w:t>7</w:t>
      </w:r>
      <w:r>
        <w:rPr>
          <w:rFonts w:hint="eastAsia" w:asciiTheme="minorEastAsia" w:hAnsiTheme="minorEastAsia" w:eastAsiaTheme="minorEastAsia" w:cstheme="minorEastAsia"/>
          <w:bCs/>
          <w:szCs w:val="32"/>
        </w:rPr>
        <w:t>附则</w:t>
      </w:r>
      <w:r>
        <w:tab/>
      </w:r>
      <w:r>
        <w:fldChar w:fldCharType="begin"/>
      </w:r>
      <w:r>
        <w:instrText xml:space="preserve"> PAGEREF _Toc16701 </w:instrText>
      </w:r>
      <w:r>
        <w:fldChar w:fldCharType="separate"/>
      </w:r>
      <w:r>
        <w:t>34</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_Toc8795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7.1</w:t>
      </w:r>
      <w:r>
        <w:rPr>
          <w:rFonts w:hint="eastAsia" w:asciiTheme="minorEastAsia" w:hAnsiTheme="minorEastAsia" w:eastAsiaTheme="minorEastAsia" w:cstheme="minorEastAsia"/>
          <w:bCs/>
          <w:szCs w:val="28"/>
          <w:lang w:val="zh-CN"/>
        </w:rPr>
        <w:t>名词术语</w:t>
      </w:r>
      <w:r>
        <w:tab/>
      </w:r>
      <w:r>
        <w:fldChar w:fldCharType="begin"/>
      </w:r>
      <w:r>
        <w:instrText xml:space="preserve"> PAGEREF _Toc8795 </w:instrText>
      </w:r>
      <w:r>
        <w:fldChar w:fldCharType="separate"/>
      </w:r>
      <w:r>
        <w:t>34</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_Toc17792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7.2</w:t>
      </w:r>
      <w:r>
        <w:rPr>
          <w:rFonts w:hint="eastAsia" w:asciiTheme="minorEastAsia" w:hAnsiTheme="minorEastAsia" w:eastAsiaTheme="minorEastAsia" w:cstheme="minorEastAsia"/>
          <w:bCs/>
          <w:szCs w:val="28"/>
          <w:lang w:val="zh-CN"/>
        </w:rPr>
        <w:t>预案解释权属</w:t>
      </w:r>
      <w:r>
        <w:tab/>
      </w:r>
      <w:r>
        <w:fldChar w:fldCharType="begin"/>
      </w:r>
      <w:r>
        <w:instrText xml:space="preserve"> PAGEREF _Toc17792 </w:instrText>
      </w:r>
      <w:r>
        <w:fldChar w:fldCharType="separate"/>
      </w:r>
      <w:r>
        <w:t>34</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_Toc29630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7.3预案演练和修订</w:t>
      </w:r>
      <w:r>
        <w:tab/>
      </w:r>
      <w:r>
        <w:fldChar w:fldCharType="begin"/>
      </w:r>
      <w:r>
        <w:instrText xml:space="preserve"> PAGEREF _Toc29630 </w:instrText>
      </w:r>
      <w:r>
        <w:fldChar w:fldCharType="separate"/>
      </w:r>
      <w:r>
        <w:t>35</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_Toc8302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7.4预案实施日期</w:t>
      </w:r>
      <w:r>
        <w:tab/>
      </w:r>
      <w:r>
        <w:fldChar w:fldCharType="begin"/>
      </w:r>
      <w:r>
        <w:instrText xml:space="preserve"> PAGEREF _Toc8302 </w:instrText>
      </w:r>
      <w:r>
        <w:fldChar w:fldCharType="separate"/>
      </w:r>
      <w:r>
        <w:t>35</w:t>
      </w:r>
      <w:r>
        <w:fldChar w:fldCharType="end"/>
      </w:r>
      <w:r>
        <w:rPr>
          <w:rFonts w:hint="eastAsia" w:asciiTheme="minorEastAsia" w:hAnsiTheme="minorEastAsia" w:eastAsiaTheme="minorEastAsia" w:cstheme="minorEastAsia"/>
          <w:szCs w:val="28"/>
          <w:lang w:val="en-US" w:eastAsia="zh-CN"/>
        </w:rPr>
        <w:fldChar w:fldCharType="end"/>
      </w:r>
    </w:p>
    <w:p>
      <w:pPr>
        <w:pStyle w:val="11"/>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_Toc14548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32"/>
          <w:lang w:val="en-US" w:eastAsia="zh-CN"/>
        </w:rPr>
        <w:t>附件及附图</w:t>
      </w:r>
      <w:r>
        <w:tab/>
      </w:r>
      <w:r>
        <w:fldChar w:fldCharType="begin"/>
      </w:r>
      <w:r>
        <w:instrText xml:space="preserve"> PAGEREF _Toc14548 </w:instrText>
      </w:r>
      <w:r>
        <w:fldChar w:fldCharType="separate"/>
      </w:r>
      <w:r>
        <w:t>36</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_Toc1590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zh-CN"/>
        </w:rPr>
        <w:t>附件</w:t>
      </w:r>
      <w:r>
        <w:rPr>
          <w:rFonts w:hint="eastAsia" w:asciiTheme="minorEastAsia" w:hAnsiTheme="minorEastAsia" w:eastAsiaTheme="minorEastAsia" w:cstheme="minorEastAsia"/>
          <w:bCs/>
          <w:szCs w:val="28"/>
          <w:lang w:val="en-US" w:eastAsia="zh-CN"/>
        </w:rPr>
        <w:t>一</w:t>
      </w:r>
      <w:r>
        <w:rPr>
          <w:rFonts w:hint="eastAsia" w:asciiTheme="minorEastAsia" w:hAnsiTheme="minorEastAsia" w:eastAsiaTheme="minorEastAsia" w:cstheme="minorEastAsia"/>
          <w:bCs/>
          <w:szCs w:val="28"/>
          <w:lang w:val="zh-CN" w:eastAsia="zh-CN"/>
        </w:rPr>
        <w:t>：</w:t>
      </w:r>
      <w:r>
        <w:rPr>
          <w:rFonts w:hint="eastAsia" w:asciiTheme="minorEastAsia" w:hAnsiTheme="minorEastAsia" w:eastAsiaTheme="minorEastAsia" w:cstheme="minorEastAsia"/>
          <w:bCs/>
          <w:szCs w:val="28"/>
          <w:lang w:val="zh-CN"/>
        </w:rPr>
        <w:t>饮用水水源地突发环境事件分级标准</w:t>
      </w:r>
      <w:r>
        <w:tab/>
      </w:r>
      <w:r>
        <w:fldChar w:fldCharType="begin"/>
      </w:r>
      <w:r>
        <w:instrText xml:space="preserve"> PAGEREF _Toc1590 </w:instrText>
      </w:r>
      <w:r>
        <w:fldChar w:fldCharType="separate"/>
      </w:r>
      <w:r>
        <w:t>37</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_Toc17537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附件二：</w:t>
      </w:r>
      <w:r>
        <w:rPr>
          <w:rFonts w:hint="eastAsia" w:asciiTheme="minorEastAsia" w:hAnsiTheme="minorEastAsia" w:eastAsiaTheme="minorEastAsia" w:cstheme="minorEastAsia"/>
          <w:bCs/>
          <w:szCs w:val="28"/>
          <w:lang w:val="zh-CN"/>
        </w:rPr>
        <w:t>应急组织机构联络方式</w:t>
      </w:r>
      <w:r>
        <w:tab/>
      </w:r>
      <w:r>
        <w:fldChar w:fldCharType="begin"/>
      </w:r>
      <w:r>
        <w:instrText xml:space="preserve"> PAGEREF _Toc17537 </w:instrText>
      </w:r>
      <w:r>
        <w:fldChar w:fldCharType="separate"/>
      </w:r>
      <w:r>
        <w:t>38</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_Toc6076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en-US" w:eastAsia="zh-CN"/>
        </w:rPr>
        <w:t>附件三：外部救援机构联系电话</w:t>
      </w:r>
      <w:r>
        <w:tab/>
      </w:r>
      <w:r>
        <w:fldChar w:fldCharType="begin"/>
      </w:r>
      <w:r>
        <w:instrText xml:space="preserve"> PAGEREF _Toc6076 </w:instrText>
      </w:r>
      <w:r>
        <w:fldChar w:fldCharType="separate"/>
      </w:r>
      <w:r>
        <w:t>39</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_Toc12136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bCs/>
          <w:szCs w:val="28"/>
          <w:lang w:val="zh-CN" w:eastAsia="zh-CN"/>
        </w:rPr>
        <w:t>附件</w:t>
      </w:r>
      <w:r>
        <w:rPr>
          <w:rFonts w:hint="eastAsia" w:asciiTheme="minorEastAsia" w:hAnsiTheme="minorEastAsia" w:eastAsiaTheme="minorEastAsia" w:cstheme="minorEastAsia"/>
          <w:bCs/>
          <w:szCs w:val="28"/>
          <w:lang w:val="en-US" w:eastAsia="zh-CN"/>
        </w:rPr>
        <w:t>四：</w:t>
      </w:r>
      <w:r>
        <w:rPr>
          <w:rFonts w:hint="eastAsia" w:asciiTheme="minorEastAsia" w:hAnsiTheme="minorEastAsia" w:eastAsiaTheme="minorEastAsia" w:cstheme="minorEastAsia"/>
          <w:bCs/>
          <w:szCs w:val="28"/>
          <w:lang w:val="zh-CN" w:eastAsia="zh-CN"/>
        </w:rPr>
        <w:t>应急救援物资一览表</w:t>
      </w:r>
      <w:r>
        <w:tab/>
      </w:r>
      <w:r>
        <w:fldChar w:fldCharType="begin"/>
      </w:r>
      <w:r>
        <w:instrText xml:space="preserve"> PAGEREF _Toc12136 </w:instrText>
      </w:r>
      <w:r>
        <w:fldChar w:fldCharType="separate"/>
      </w:r>
      <w:r>
        <w:t>40</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_Toc16696 </w:instrText>
      </w:r>
      <w:r>
        <w:rPr>
          <w:rFonts w:hint="eastAsia" w:asciiTheme="minorEastAsia" w:hAnsiTheme="minorEastAsia" w:eastAsiaTheme="minorEastAsia" w:cstheme="minorEastAsia"/>
          <w:szCs w:val="28"/>
          <w:lang w:val="en-US" w:eastAsia="zh-CN"/>
        </w:rPr>
        <w:fldChar w:fldCharType="separate"/>
      </w:r>
      <w:r>
        <w:rPr>
          <w:rFonts w:hint="eastAsia" w:ascii="宋体" w:hAnsi="宋体" w:eastAsia="宋体" w:cs="宋体"/>
          <w:bCs w:val="0"/>
          <w:szCs w:val="28"/>
          <w:lang w:val="zh-CN" w:eastAsia="zh-CN"/>
        </w:rPr>
        <w:t>附</w:t>
      </w:r>
      <w:r>
        <w:rPr>
          <w:rFonts w:hint="eastAsia" w:ascii="宋体" w:hAnsi="宋体" w:eastAsia="宋体" w:cs="宋体"/>
          <w:bCs w:val="0"/>
          <w:szCs w:val="28"/>
          <w:lang w:val="en-US" w:eastAsia="zh-CN"/>
        </w:rPr>
        <w:t>图一：</w:t>
      </w:r>
      <w:r>
        <w:rPr>
          <w:rFonts w:hint="eastAsia" w:ascii="宋体" w:hAnsi="宋体" w:eastAsia="宋体" w:cs="宋体"/>
          <w:bCs w:val="0"/>
          <w:szCs w:val="28"/>
          <w:lang w:val="zh-CN" w:eastAsia="zh-CN"/>
        </w:rPr>
        <w:t>开州区</w:t>
      </w:r>
      <w:r>
        <w:rPr>
          <w:rFonts w:hint="eastAsia" w:cs="宋体"/>
          <w:bCs w:val="0"/>
          <w:szCs w:val="28"/>
          <w:lang w:val="en-US" w:eastAsia="zh-CN"/>
        </w:rPr>
        <w:t>铁桥镇</w:t>
      </w:r>
      <w:r>
        <w:rPr>
          <w:rFonts w:hint="eastAsia" w:cs="宋体"/>
          <w:bCs w:val="0"/>
          <w:szCs w:val="28"/>
          <w:lang w:val="zh-CN" w:eastAsia="zh-CN"/>
        </w:rPr>
        <w:t>集中式地表水饮用水水源地</w:t>
      </w:r>
      <w:r>
        <w:rPr>
          <w:rFonts w:hint="eastAsia" w:ascii="宋体" w:hAnsi="宋体" w:eastAsia="宋体" w:cs="宋体"/>
          <w:bCs w:val="0"/>
          <w:szCs w:val="28"/>
          <w:lang w:val="zh-CN" w:eastAsia="zh-CN"/>
        </w:rPr>
        <w:t>地理位置图</w:t>
      </w:r>
      <w:r>
        <w:tab/>
      </w:r>
      <w:r>
        <w:fldChar w:fldCharType="begin"/>
      </w:r>
      <w:r>
        <w:instrText xml:space="preserve"> PAGEREF _Toc16696 </w:instrText>
      </w:r>
      <w:r>
        <w:fldChar w:fldCharType="separate"/>
      </w:r>
      <w:r>
        <w:t>41</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_Toc6779 </w:instrText>
      </w:r>
      <w:r>
        <w:rPr>
          <w:rFonts w:hint="eastAsia" w:asciiTheme="minorEastAsia" w:hAnsiTheme="minorEastAsia" w:eastAsiaTheme="minorEastAsia" w:cstheme="minorEastAsia"/>
          <w:szCs w:val="28"/>
          <w:lang w:val="en-US" w:eastAsia="zh-CN"/>
        </w:rPr>
        <w:fldChar w:fldCharType="separate"/>
      </w:r>
      <w:r>
        <w:rPr>
          <w:rFonts w:hint="eastAsia" w:ascii="宋体" w:hAnsi="宋体" w:eastAsia="宋体" w:cs="宋体"/>
          <w:bCs w:val="0"/>
          <w:szCs w:val="28"/>
          <w:lang w:val="zh-CN" w:eastAsia="zh-CN" w:bidi="zh-CN"/>
        </w:rPr>
        <w:t>附</w:t>
      </w:r>
      <w:r>
        <w:rPr>
          <w:rFonts w:hint="eastAsia" w:ascii="宋体" w:hAnsi="宋体" w:eastAsia="宋体" w:cs="宋体"/>
          <w:bCs w:val="0"/>
          <w:szCs w:val="28"/>
          <w:lang w:val="en-US" w:eastAsia="zh-CN" w:bidi="zh-CN"/>
        </w:rPr>
        <w:t>图二：</w:t>
      </w:r>
      <w:r>
        <w:rPr>
          <w:rFonts w:hint="eastAsia" w:ascii="宋体" w:hAnsi="宋体" w:eastAsia="宋体" w:cs="宋体"/>
          <w:bCs w:val="0"/>
          <w:szCs w:val="28"/>
          <w:lang w:val="zh-CN" w:eastAsia="zh-CN" w:bidi="zh-CN"/>
        </w:rPr>
        <w:t>开州区</w:t>
      </w:r>
      <w:r>
        <w:rPr>
          <w:rFonts w:hint="eastAsia" w:cs="宋体"/>
          <w:bCs w:val="0"/>
          <w:szCs w:val="28"/>
          <w:lang w:val="en-US" w:eastAsia="zh-CN" w:bidi="zh-CN"/>
        </w:rPr>
        <w:t>铁桥镇</w:t>
      </w:r>
      <w:r>
        <w:rPr>
          <w:rFonts w:hint="eastAsia" w:ascii="宋体" w:hAnsi="宋体" w:eastAsia="宋体" w:cs="宋体"/>
          <w:bCs w:val="0"/>
          <w:szCs w:val="28"/>
          <w:lang w:val="zh-CN" w:eastAsia="zh-CN" w:bidi="zh-CN"/>
        </w:rPr>
        <w:t>集中式地表水饮用水水源地</w:t>
      </w:r>
      <w:r>
        <w:rPr>
          <w:rFonts w:hint="eastAsia" w:ascii="宋体" w:hAnsi="宋体" w:eastAsia="宋体" w:cs="宋体"/>
          <w:bCs w:val="0"/>
          <w:szCs w:val="28"/>
          <w:lang w:val="en-US" w:eastAsia="zh-CN" w:bidi="zh-CN"/>
        </w:rPr>
        <w:t>保护区域范围图</w:t>
      </w:r>
      <w:r>
        <w:tab/>
      </w:r>
      <w:r>
        <w:fldChar w:fldCharType="begin"/>
      </w:r>
      <w:r>
        <w:instrText xml:space="preserve"> PAGEREF _Toc6779 </w:instrText>
      </w:r>
      <w:r>
        <w:fldChar w:fldCharType="separate"/>
      </w:r>
      <w:r>
        <w:t>42</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_Toc22284 </w:instrText>
      </w:r>
      <w:r>
        <w:rPr>
          <w:rFonts w:hint="eastAsia" w:asciiTheme="minorEastAsia" w:hAnsiTheme="minorEastAsia" w:eastAsiaTheme="minorEastAsia" w:cstheme="minorEastAsia"/>
          <w:szCs w:val="28"/>
          <w:lang w:val="en-US" w:eastAsia="zh-CN"/>
        </w:rPr>
        <w:fldChar w:fldCharType="separate"/>
      </w:r>
      <w:r>
        <w:rPr>
          <w:rFonts w:hint="eastAsia" w:ascii="宋体" w:hAnsi="宋体" w:eastAsia="宋体" w:cs="宋体"/>
          <w:bCs w:val="0"/>
          <w:szCs w:val="28"/>
          <w:lang w:val="en-US" w:eastAsia="zh-CN"/>
        </w:rPr>
        <w:t>附图</w:t>
      </w:r>
      <w:r>
        <w:rPr>
          <w:rFonts w:hint="eastAsia" w:cs="宋体"/>
          <w:bCs w:val="0"/>
          <w:szCs w:val="28"/>
          <w:lang w:val="en-US" w:eastAsia="zh-CN"/>
        </w:rPr>
        <w:t>三</w:t>
      </w:r>
      <w:r>
        <w:rPr>
          <w:rFonts w:hint="eastAsia" w:ascii="宋体" w:hAnsi="宋体" w:eastAsia="宋体" w:cs="宋体"/>
          <w:bCs w:val="0"/>
          <w:szCs w:val="28"/>
          <w:lang w:val="en-US" w:eastAsia="zh-CN"/>
        </w:rPr>
        <w:t>：开州区</w:t>
      </w:r>
      <w:r>
        <w:rPr>
          <w:rFonts w:hint="eastAsia" w:cs="宋体"/>
          <w:bCs w:val="0"/>
          <w:szCs w:val="28"/>
          <w:lang w:val="en-US" w:eastAsia="zh-CN"/>
        </w:rPr>
        <w:t>铁桥镇</w:t>
      </w:r>
      <w:r>
        <w:rPr>
          <w:rFonts w:hint="eastAsia" w:ascii="宋体" w:hAnsi="宋体" w:eastAsia="宋体" w:cs="宋体"/>
          <w:bCs w:val="0"/>
          <w:szCs w:val="28"/>
          <w:lang w:val="en-US" w:eastAsia="zh-CN"/>
        </w:rPr>
        <w:t>供水区域图</w:t>
      </w:r>
      <w:r>
        <w:tab/>
      </w:r>
      <w:r>
        <w:fldChar w:fldCharType="begin"/>
      </w:r>
      <w:r>
        <w:instrText xml:space="preserve"> PAGEREF _Toc22284 </w:instrText>
      </w:r>
      <w:r>
        <w:fldChar w:fldCharType="separate"/>
      </w:r>
      <w:r>
        <w:t>43</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_Toc11005 </w:instrText>
      </w:r>
      <w:r>
        <w:rPr>
          <w:rFonts w:hint="eastAsia" w:asciiTheme="minorEastAsia" w:hAnsiTheme="minorEastAsia" w:eastAsiaTheme="minorEastAsia" w:cstheme="minorEastAsia"/>
          <w:szCs w:val="28"/>
          <w:lang w:val="en-US" w:eastAsia="zh-CN"/>
        </w:rPr>
        <w:fldChar w:fldCharType="separate"/>
      </w:r>
      <w:r>
        <w:rPr>
          <w:rFonts w:hint="eastAsia" w:cs="宋体"/>
          <w:bCs w:val="0"/>
          <w:szCs w:val="28"/>
          <w:lang w:val="en-US" w:eastAsia="zh-CN"/>
        </w:rPr>
        <w:t>附图四：开州区水系图</w:t>
      </w:r>
      <w:r>
        <w:tab/>
      </w:r>
      <w:r>
        <w:fldChar w:fldCharType="begin"/>
      </w:r>
      <w:r>
        <w:instrText xml:space="preserve"> PAGEREF _Toc11005 </w:instrText>
      </w:r>
      <w:r>
        <w:fldChar w:fldCharType="separate"/>
      </w:r>
      <w:r>
        <w:t>44</w:t>
      </w:r>
      <w:r>
        <w:fldChar w:fldCharType="end"/>
      </w:r>
      <w:r>
        <w:rPr>
          <w:rFonts w:hint="eastAsia" w:asciiTheme="minorEastAsia" w:hAnsiTheme="minorEastAsia" w:eastAsiaTheme="minorEastAsia" w:cstheme="minorEastAsia"/>
          <w:szCs w:val="28"/>
          <w:lang w:val="en-US" w:eastAsia="zh-CN"/>
        </w:rPr>
        <w:fldChar w:fldCharType="end"/>
      </w:r>
    </w:p>
    <w:p>
      <w:pPr>
        <w:pStyle w:val="12"/>
        <w:tabs>
          <w:tab w:val="right" w:leader="dot" w:pos="9026"/>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_Toc10794 </w:instrText>
      </w:r>
      <w:r>
        <w:rPr>
          <w:rFonts w:hint="eastAsia" w:asciiTheme="minorEastAsia" w:hAnsiTheme="minorEastAsia" w:eastAsiaTheme="minorEastAsia" w:cstheme="minorEastAsia"/>
          <w:szCs w:val="28"/>
          <w:lang w:val="en-US" w:eastAsia="zh-CN"/>
        </w:rPr>
        <w:fldChar w:fldCharType="separate"/>
      </w:r>
      <w:r>
        <w:rPr>
          <w:rFonts w:hint="eastAsia" w:cs="宋体"/>
          <w:bCs w:val="0"/>
          <w:szCs w:val="28"/>
          <w:lang w:val="en-US" w:eastAsia="zh-CN"/>
        </w:rPr>
        <w:t>附图五：开州区地图</w:t>
      </w:r>
      <w:r>
        <w:tab/>
      </w:r>
      <w:r>
        <w:fldChar w:fldCharType="begin"/>
      </w:r>
      <w:r>
        <w:instrText xml:space="preserve"> PAGEREF _Toc10794 </w:instrText>
      </w:r>
      <w:r>
        <w:fldChar w:fldCharType="separate"/>
      </w:r>
      <w:r>
        <w:t>45</w:t>
      </w:r>
      <w:r>
        <w:fldChar w:fldCharType="end"/>
      </w:r>
      <w:r>
        <w:rPr>
          <w:rFonts w:hint="eastAsia" w:asciiTheme="minorEastAsia" w:hAnsiTheme="minorEastAsia" w:eastAsiaTheme="minorEastAsia" w:cstheme="minorEastAsia"/>
          <w:szCs w:val="28"/>
          <w:lang w:val="en-US" w:eastAsia="zh-CN"/>
        </w:rPr>
        <w:fldChar w:fldCharType="end"/>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Cs w:val="28"/>
          <w:lang w:val="en-US" w:eastAsia="zh-CN"/>
        </w:rPr>
        <w:fldChar w:fldCharType="end"/>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sectPr>
          <w:headerReference r:id="rId7" w:type="default"/>
          <w:footerReference r:id="rId8" w:type="default"/>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bookmarkStart w:id="0" w:name="_Toc27502_WPSOffice_Level1"/>
      <w:bookmarkStart w:id="1" w:name="_Toc26427_WPSOffice_Level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sz w:val="32"/>
          <w:szCs w:val="32"/>
        </w:rPr>
      </w:pPr>
      <w:bookmarkStart w:id="2" w:name="_Toc8318"/>
      <w:r>
        <w:rPr>
          <w:rFonts w:hint="eastAsia" w:asciiTheme="minorEastAsia" w:hAnsiTheme="minorEastAsia" w:eastAsiaTheme="minorEastAsia" w:cstheme="minorEastAsia"/>
          <w:b/>
          <w:bCs/>
          <w:sz w:val="32"/>
          <w:szCs w:val="32"/>
        </w:rPr>
        <w:t>1 总则</w:t>
      </w:r>
      <w:bookmarkEnd w:id="0"/>
      <w:bookmarkEnd w:id="1"/>
      <w:bookmarkEnd w:id="2"/>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3" w:name="_Toc29726"/>
      <w:bookmarkStart w:id="4" w:name="_Toc17343_WPSOffice_Level2"/>
      <w:bookmarkStart w:id="5" w:name="_Toc294080707"/>
      <w:bookmarkStart w:id="6" w:name="_Toc2078_WPSOffice_Level2"/>
      <w:bookmarkStart w:id="7" w:name="_Toc15488_WPSOffice_Level2"/>
      <w:bookmarkStart w:id="8" w:name="_Toc13902_WPSOffice_Level2"/>
      <w:bookmarkStart w:id="9" w:name="_Toc21852"/>
      <w:bookmarkStart w:id="10" w:name="_Toc295467913"/>
      <w:r>
        <w:rPr>
          <w:rFonts w:hint="eastAsia" w:asciiTheme="minorEastAsia" w:hAnsiTheme="minorEastAsia" w:eastAsiaTheme="minorEastAsia" w:cstheme="minorEastAsia"/>
          <w:b/>
          <w:bCs/>
          <w:sz w:val="28"/>
          <w:szCs w:val="28"/>
          <w:lang w:val="zh-CN"/>
        </w:rPr>
        <w:t>1.1 编制目的</w:t>
      </w:r>
      <w:bookmarkEnd w:id="3"/>
      <w:bookmarkEnd w:id="4"/>
      <w:bookmarkEnd w:id="5"/>
      <w:bookmarkEnd w:id="6"/>
      <w:bookmarkEnd w:id="7"/>
      <w:bookmarkEnd w:id="8"/>
      <w:bookmarkEnd w:id="9"/>
      <w:bookmarkEnd w:id="10"/>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bookmarkStart w:id="11" w:name="_Toc294080708"/>
      <w:bookmarkStart w:id="12" w:name="_Toc11301_WPSOffice_Level2"/>
      <w:bookmarkStart w:id="13" w:name="_Toc25354"/>
      <w:bookmarkStart w:id="14" w:name="_Toc19232_WPSOffice_Level2"/>
      <w:bookmarkStart w:id="15" w:name="_Toc31986_WPSOffice_Level2"/>
      <w:bookmarkStart w:id="16" w:name="_Toc13297_WPSOffice_Level2"/>
      <w:bookmarkStart w:id="17" w:name="_Toc295467914"/>
      <w:r>
        <w:rPr>
          <w:rFonts w:hint="eastAsia" w:asciiTheme="minorEastAsia" w:hAnsiTheme="minorEastAsia" w:eastAsiaTheme="minorEastAsia" w:cstheme="minorEastAsia"/>
          <w:sz w:val="28"/>
          <w:szCs w:val="28"/>
          <w:lang w:val="en-US" w:eastAsia="zh-CN"/>
        </w:rPr>
        <w:t>为建立健全水环境污染事件应急机制，有效预防和减少突发环境事件的发生，快速、科学地进行突发环境事件的应急处置，全面提高应对全镇集中式地表水饮用水水源地（以下简称水源地）突发环境事件的能力，有效应对辖区内水源地突发环境事件，最大程度降低突发环境事件对水源地水质影响，规范水源地突发环境事件应对的各项工作，特制定本预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18" w:name="_Toc31055"/>
      <w:r>
        <w:rPr>
          <w:rFonts w:hint="eastAsia" w:asciiTheme="minorEastAsia" w:hAnsiTheme="minorEastAsia" w:eastAsiaTheme="minorEastAsia" w:cstheme="minorEastAsia"/>
          <w:b/>
          <w:bCs/>
          <w:sz w:val="28"/>
          <w:szCs w:val="28"/>
          <w:lang w:val="zh-CN"/>
        </w:rPr>
        <w:t>1.2 编制依据</w:t>
      </w:r>
      <w:bookmarkEnd w:id="11"/>
      <w:bookmarkEnd w:id="12"/>
      <w:bookmarkEnd w:id="13"/>
      <w:bookmarkEnd w:id="14"/>
      <w:bookmarkEnd w:id="15"/>
      <w:bookmarkEnd w:id="16"/>
      <w:bookmarkEnd w:id="17"/>
      <w:bookmarkEnd w:id="18"/>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zh-CN"/>
        </w:rPr>
      </w:pPr>
      <w:r>
        <w:rPr>
          <w:rFonts w:hint="eastAsia" w:asciiTheme="minorEastAsia" w:hAnsiTheme="minorEastAsia" w:eastAsiaTheme="minorEastAsia" w:cstheme="minorEastAsia"/>
          <w:b/>
          <w:bCs/>
          <w:sz w:val="28"/>
          <w:szCs w:val="28"/>
          <w:lang w:val="zh-CN"/>
        </w:rPr>
        <w:t>1.2.1法律及法规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1）《中华人民共和国突发事件应对法》（主席令第69号，2007-11-01）；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2）《中华人民共和国环境保护法》  （主席令第9号，2015-01-01）；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3）《中华人民共和国水污染防治法》（主席令第70号，2018-01-01）；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4）《国家环境保护局、卫生部、建设部、水利部、地矿部饮用水水源保护区污染防治管理规定》（2010 年修正）；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5）《国务院办公厅关于印发〈突发事件应急预案管理办法〉的通知》（国办发﹝2013﹞101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6）《国务院办公厅关于印发〈国家突发环境事件应急预案〉的通知》（国办函﹝2014﹞119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7）《环境保护部关于印发〈企业事业单位突发环境事件应急预案备案管理办法（试行）〉的通知》（环发﹝2015﹞4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8）《环境保护部办公厅关于印发〈集中式地表饮用水水源地环境应急管理工作指南〉的通知》（环办﹝2011﹞93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9）《环境保护部办公厅关于印发〈集中式饮用水水源环境保护指南（试行）〉的通知》（环办〔2012〕50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10）《环境保护部办公厅关于印发〈行政区域突发环境事件风险评估推荐方法〉的通知》（环办应急﹝2018﹞9号）；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11）《生态环境部集中式地表水饮用水水源地突发环境事件应急预案编制指南（试行）》（生态环境部公告 2018年第1号）；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12）《环境保护部突发环境事件信息报告办法》（环境保护部令第 17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13）《环境保护部突发环境事件应急管理办法》（环境保护部令第 34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14）《重庆市突发事件应对条例》（重庆市人民代表大会常务委员会公告[2012]9号，2012-07-01）；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15）《重庆市环境保护条例》（重庆市人民代表大会常务委员会公告〔2017〕第11号，2017-06-01）。</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zh-CN"/>
        </w:rPr>
      </w:pPr>
      <w:r>
        <w:rPr>
          <w:rFonts w:hint="eastAsia" w:asciiTheme="minorEastAsia" w:hAnsiTheme="minorEastAsia" w:eastAsiaTheme="minorEastAsia" w:cstheme="minorEastAsia"/>
          <w:b/>
          <w:bCs/>
          <w:sz w:val="28"/>
          <w:szCs w:val="28"/>
          <w:lang w:val="en-US" w:eastAsia="zh-CN"/>
        </w:rPr>
        <w:t>1.2.2</w:t>
      </w:r>
      <w:r>
        <w:rPr>
          <w:rFonts w:hint="eastAsia" w:asciiTheme="minorEastAsia" w:hAnsiTheme="minorEastAsia" w:eastAsiaTheme="minorEastAsia" w:cstheme="minorEastAsia"/>
          <w:b/>
          <w:bCs/>
          <w:sz w:val="28"/>
          <w:szCs w:val="28"/>
          <w:lang w:val="zh-CN"/>
        </w:rPr>
        <w:t>技术标准规范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1）《地表水环境质量标准》（GB3838—2002）；</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2）《地下水质量标准》（GB/T14848—2017）；</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3）《突发环境事件应急监测技术规范》（HJ589—2010）；</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4）《集中式饮用水水源地规范化建设环境保护技术要求》（HJ773—2015）；</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5）《企业突发环境事件风险分级方法》（HJ941—2018）。</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1.2.3其他资料</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1）《重庆市人民政府关于印发〈重庆市饮用水水源保护区划分规定〉的通知》（渝府发〔2002〕83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2）《重庆市人民政府办公厅关于调整万州区等 31 个区县（自治县）集中式饮用水水源保护区的通知》（渝府办〔2013〕40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3）《重庆市人民政府办公厅关于调整万州区等 36 个区县（自治县）集中式饮用水水源保护区的通知》（渝府办〔2016〕19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4）《重庆市人民政府办公厅关于印发万州区等区县（开发区）集中式饮用水水源地保护区划分及调整方案的通知》（渝府 办〔2018〕7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19" w:name="_Toc13441"/>
      <w:r>
        <w:rPr>
          <w:rFonts w:hint="eastAsia" w:asciiTheme="minorEastAsia" w:hAnsiTheme="minorEastAsia" w:eastAsiaTheme="minorEastAsia" w:cstheme="minorEastAsia"/>
          <w:b/>
          <w:bCs/>
          <w:sz w:val="28"/>
          <w:szCs w:val="28"/>
          <w:lang w:val="en-US" w:eastAsia="zh-CN"/>
        </w:rPr>
        <w:t>1.3 适用范围</w:t>
      </w:r>
      <w:bookmarkEnd w:id="19"/>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本预案适用</w:t>
      </w:r>
      <w:r>
        <w:rPr>
          <w:rFonts w:hint="eastAsia" w:asciiTheme="minorEastAsia" w:hAnsiTheme="minorEastAsia" w:eastAsiaTheme="minorEastAsia" w:cstheme="minorEastAsia"/>
          <w:color w:val="auto"/>
          <w:sz w:val="28"/>
          <w:szCs w:val="28"/>
          <w:lang w:val="en-US" w:eastAsia="zh-CN"/>
        </w:rPr>
        <w:t>于铁桥镇饮用水源万塘水库，因环境</w:t>
      </w:r>
      <w:r>
        <w:rPr>
          <w:rFonts w:hint="eastAsia" w:asciiTheme="minorEastAsia" w:hAnsiTheme="minorEastAsia" w:eastAsiaTheme="minorEastAsia" w:cstheme="minorEastAsia"/>
          <w:sz w:val="28"/>
          <w:szCs w:val="28"/>
          <w:lang w:val="en-US" w:eastAsia="zh-CN"/>
        </w:rPr>
        <w:t>威胁或造成饮用水源地取水中断的突发事件的预警、控制和应急处置。饮用水源突发环境事件包括：</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1）生物性污染：一切以水源为传播途径的致病微生物和寄生虫等污染饮用水源，由此可能导致或已经出现腹泻、伤寒、霍乱、甲型肝炎等肠道传染病暴发流行的污染事件。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2）化学性污染。一切剧毒、有毒、有害化学物品(如氰化物、砷、汞、Cr6+、亚硝酸盐、农药、氨氮、石油类、磷等)污染饮用水源事件，可能损害人体健康甚至危及生命。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3）其他突发性环境水污染事故。如干旱、洪水、季节性断流等。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eastAsia="zh-CN"/>
        </w:rPr>
      </w:pPr>
      <w:bookmarkStart w:id="20" w:name="_Toc11439_WPSOffice_Level2"/>
      <w:bookmarkStart w:id="21" w:name="_Toc2498_WPSOffice_Level2"/>
      <w:bookmarkStart w:id="22" w:name="_Toc19006"/>
      <w:bookmarkStart w:id="23" w:name="_Toc439"/>
      <w:bookmarkStart w:id="24" w:name="_Toc28536_WPSOffice_Level2"/>
      <w:bookmarkStart w:id="25" w:name="_Toc30067_WPSOffice_Level2"/>
      <w:r>
        <w:rPr>
          <w:rFonts w:hint="eastAsia" w:asciiTheme="minorEastAsia" w:hAnsiTheme="minorEastAsia" w:eastAsiaTheme="minorEastAsia" w:cstheme="minorEastAsia"/>
          <w:b/>
          <w:bCs/>
          <w:sz w:val="28"/>
          <w:szCs w:val="28"/>
          <w:lang w:val="zh-CN" w:eastAsia="zh-CN"/>
        </w:rPr>
        <w:t>1.</w:t>
      </w:r>
      <w:r>
        <w:rPr>
          <w:rFonts w:hint="eastAsia" w:asciiTheme="minorEastAsia" w:hAnsiTheme="minorEastAsia" w:eastAsiaTheme="minorEastAsia" w:cstheme="minorEastAsia"/>
          <w:b/>
          <w:bCs/>
          <w:sz w:val="28"/>
          <w:szCs w:val="28"/>
          <w:lang w:val="en-US" w:eastAsia="zh-CN"/>
        </w:rPr>
        <w:t>4</w:t>
      </w:r>
      <w:r>
        <w:rPr>
          <w:rFonts w:hint="eastAsia" w:asciiTheme="minorEastAsia" w:hAnsiTheme="minorEastAsia" w:eastAsiaTheme="minorEastAsia" w:cstheme="minorEastAsia"/>
          <w:b/>
          <w:bCs/>
          <w:sz w:val="28"/>
          <w:szCs w:val="28"/>
          <w:lang w:val="zh-CN" w:eastAsia="zh-CN"/>
        </w:rPr>
        <w:t xml:space="preserve"> 应急预案体系</w:t>
      </w:r>
      <w:bookmarkEnd w:id="20"/>
      <w:bookmarkEnd w:id="21"/>
      <w:bookmarkEnd w:id="22"/>
      <w:bookmarkEnd w:id="23"/>
      <w:bookmarkEnd w:id="24"/>
      <w:bookmarkEnd w:id="25"/>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本预案为《重庆市开州区铁桥镇饮用水水源地突发环境事件应急预案》，该预案和《重庆市开州区饮用水水源地突发环境事件应急预案》、《铁桥自来水有限公司供水事故应急预案》相衔接。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应急预案体系组成结构见：图1.5-1。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eastAsia="zh-CN"/>
        </w:rPr>
      </w:pPr>
      <w:bookmarkStart w:id="26" w:name="_Toc24271"/>
      <w:bookmarkStart w:id="27" w:name="_Toc25884_WPSOffice_Level2"/>
      <w:bookmarkStart w:id="28" w:name="_Toc483"/>
      <w:bookmarkStart w:id="29" w:name="_Toc13045_WPSOffice_Level2"/>
      <w:bookmarkStart w:id="30" w:name="_Toc11398_WPSOffice_Level2"/>
      <w:bookmarkStart w:id="31" w:name="_Toc27981_WPSOffice_Level2"/>
      <w:r>
        <w:rPr>
          <w:rFonts w:hint="eastAsia" w:asciiTheme="minorEastAsia" w:hAnsiTheme="minorEastAsia" w:eastAsiaTheme="minorEastAsia" w:cstheme="minorEastAsia"/>
          <w:b/>
          <w:bCs/>
          <w:sz w:val="28"/>
          <w:szCs w:val="28"/>
          <w:lang w:val="zh-CN" w:eastAsia="zh-CN"/>
        </w:rPr>
        <w:t>1.</w:t>
      </w:r>
      <w:r>
        <w:rPr>
          <w:rFonts w:hint="eastAsia" w:asciiTheme="minorEastAsia" w:hAnsiTheme="minorEastAsia" w:eastAsiaTheme="minorEastAsia" w:cstheme="minorEastAsia"/>
          <w:b/>
          <w:bCs/>
          <w:sz w:val="28"/>
          <w:szCs w:val="28"/>
          <w:lang w:val="en-US" w:eastAsia="zh-CN"/>
        </w:rPr>
        <w:t>5</w:t>
      </w:r>
      <w:r>
        <w:rPr>
          <w:rFonts w:hint="eastAsia" w:asciiTheme="minorEastAsia" w:hAnsiTheme="minorEastAsia" w:eastAsiaTheme="minorEastAsia" w:cstheme="minorEastAsia"/>
          <w:b/>
          <w:bCs/>
          <w:sz w:val="28"/>
          <w:szCs w:val="28"/>
          <w:lang w:val="zh-CN" w:eastAsia="zh-CN"/>
        </w:rPr>
        <w:t xml:space="preserve"> 工作原则</w:t>
      </w:r>
      <w:bookmarkEnd w:id="26"/>
      <w:bookmarkEnd w:id="27"/>
      <w:bookmarkEnd w:id="28"/>
      <w:bookmarkEnd w:id="29"/>
      <w:bookmarkEnd w:id="30"/>
      <w:bookmarkEnd w:id="3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在建立突发性环境污染事件应急系统及其响应程序时，应本着实事求是、切实可行的方针，贯彻如下原则：</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1）以人为本、安全第一。以保障职工以及周边群众的生命、环境安全作为应急工作的出发点和根本点，并优先保障人身安全。在确保人员安全的前提下，最大限度减少突发环境事件对饮用水源的影响。</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统一指挥、分工负责、协调联动。应急工作必须统一指挥，令行禁止。根据事故级别，分级建立统一的应急指挥体系，确保应急救援指挥统一。各有关部门和救援单位要在统一的指挥下按照各自职责，分工负责，紧密配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快速反应、科学处置、资源共享、保障有力。各接报人员要迅速反应，有效研判，采用先进的应急装备和技术，科学、规范处置突发环境事件；相关职能部门、单位密切配合，实现应急资源共享，为应急处置提供有力保障。</w:t>
      </w:r>
    </w:p>
    <w:p>
      <w:pPr>
        <w:pageBreakBefore w:val="0"/>
        <w:widowControl w:val="0"/>
        <w:kinsoku/>
        <w:wordWrap/>
        <w:overflowPunct/>
        <w:topLinePunct w:val="0"/>
        <w:bidi w:val="0"/>
        <w:spacing w:line="360" w:lineRule="auto"/>
        <w:ind w:left="0" w:leftChars="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sz w:val="32"/>
          <w:szCs w:val="32"/>
          <w:lang w:val="en-US" w:eastAsia="zh-CN"/>
        </w:rPr>
      </w:pPr>
      <w:bookmarkStart w:id="32" w:name="_Toc23909"/>
      <w:r>
        <w:rPr>
          <w:rFonts w:hint="eastAsia" w:asciiTheme="minorEastAsia" w:hAnsiTheme="minorEastAsia" w:eastAsiaTheme="minorEastAsia" w:cstheme="minorEastAsia"/>
          <w:b/>
          <w:bCs/>
          <w:sz w:val="32"/>
          <w:szCs w:val="32"/>
          <w:lang w:val="en-US" w:eastAsia="zh-CN"/>
        </w:rPr>
        <w:t>2水源地基本信息</w:t>
      </w:r>
      <w:bookmarkEnd w:id="32"/>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default" w:asciiTheme="minorEastAsia" w:hAnsiTheme="minorEastAsia" w:eastAsiaTheme="minorEastAsia" w:cstheme="minorEastAsia"/>
          <w:b/>
          <w:bCs/>
          <w:sz w:val="28"/>
          <w:szCs w:val="28"/>
          <w:lang w:val="en-US" w:eastAsia="zh-CN"/>
        </w:rPr>
      </w:pPr>
      <w:bookmarkStart w:id="33" w:name="_Toc15487"/>
      <w:r>
        <w:rPr>
          <w:rFonts w:hint="eastAsia" w:asciiTheme="minorEastAsia" w:hAnsiTheme="minorEastAsia" w:eastAsiaTheme="minorEastAsia" w:cstheme="minorEastAsia"/>
          <w:b/>
          <w:bCs/>
          <w:sz w:val="28"/>
          <w:szCs w:val="28"/>
          <w:lang w:val="en-US" w:eastAsia="zh-CN"/>
        </w:rPr>
        <w:t>2.1水源地基本信息</w:t>
      </w:r>
      <w:bookmarkEnd w:id="33"/>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right="0" w:firstLine="560" w:firstLineChars="200"/>
        <w:textAlignment w:val="auto"/>
        <w:rPr>
          <w:rFonts w:hint="eastAsia" w:cs="宋体"/>
          <w:b w:val="0"/>
          <w:bCs w:val="0"/>
          <w:color w:val="auto"/>
          <w:sz w:val="28"/>
          <w:szCs w:val="28"/>
          <w:lang w:val="en-US" w:eastAsia="zh-CN"/>
        </w:rPr>
      </w:pPr>
      <w:r>
        <w:rPr>
          <w:rFonts w:hint="eastAsia" w:cs="宋体"/>
          <w:b w:val="0"/>
          <w:bCs w:val="0"/>
          <w:color w:val="auto"/>
          <w:sz w:val="28"/>
          <w:szCs w:val="28"/>
          <w:lang w:val="en-US" w:eastAsia="zh-CN"/>
        </w:rPr>
        <w:t>重庆市开州区铁桥镇范围内有一个集中式饮用水源地，为开州区万塘水库铁桥镇福利水厂水源地，编号：XXXXXXXXXXXXXX。XXXXXX蓄水而成，最高水位XXX米，日常水位XX米。服务区域为XXXXXXX镇上居民。日供水3000m</w:t>
      </w:r>
      <w:r>
        <w:rPr>
          <w:rFonts w:hint="eastAsia" w:cs="宋体"/>
          <w:b w:val="0"/>
          <w:bCs w:val="0"/>
          <w:color w:val="auto"/>
          <w:sz w:val="28"/>
          <w:szCs w:val="28"/>
          <w:vertAlign w:val="superscript"/>
          <w:lang w:val="en-US" w:eastAsia="zh-CN"/>
        </w:rPr>
        <w:t>3</w:t>
      </w:r>
      <w:r>
        <w:rPr>
          <w:rFonts w:hint="eastAsia" w:cs="宋体"/>
          <w:b w:val="0"/>
          <w:bCs w:val="0"/>
          <w:color w:val="auto"/>
          <w:sz w:val="28"/>
          <w:szCs w:val="28"/>
          <w:lang w:val="en-US"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default" w:asciiTheme="minorEastAsia" w:hAnsiTheme="minorEastAsia" w:eastAsiaTheme="minorEastAsia" w:cstheme="minorEastAsia"/>
          <w:b/>
          <w:bCs/>
          <w:sz w:val="28"/>
          <w:szCs w:val="28"/>
          <w:lang w:val="en-US" w:eastAsia="zh-CN"/>
        </w:rPr>
      </w:pPr>
      <w:bookmarkStart w:id="34" w:name="_Toc31043"/>
      <w:r>
        <w:rPr>
          <w:rFonts w:hint="eastAsia" w:asciiTheme="minorEastAsia" w:hAnsiTheme="minorEastAsia" w:eastAsiaTheme="minorEastAsia" w:cstheme="minorEastAsia"/>
          <w:b/>
          <w:bCs/>
          <w:sz w:val="28"/>
          <w:szCs w:val="28"/>
          <w:lang w:val="en-US" w:eastAsia="zh-CN"/>
        </w:rPr>
        <w:t>2.2水源地取水情况</w:t>
      </w:r>
      <w:bookmarkEnd w:id="34"/>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cs="宋体"/>
          <w:b w:val="0"/>
          <w:bCs w:val="0"/>
          <w:color w:val="auto"/>
          <w:sz w:val="28"/>
          <w:szCs w:val="28"/>
          <w:lang w:val="en-US" w:eastAsia="zh-CN"/>
        </w:rPr>
        <w:t>万塘</w:t>
      </w:r>
      <w:r>
        <w:rPr>
          <w:rFonts w:hint="eastAsia" w:asciiTheme="minorEastAsia" w:hAnsiTheme="minorEastAsia" w:eastAsiaTheme="minorEastAsia" w:cstheme="minorEastAsia"/>
          <w:color w:val="auto"/>
          <w:sz w:val="28"/>
          <w:szCs w:val="28"/>
          <w:lang w:val="en-US" w:eastAsia="zh-CN"/>
        </w:rPr>
        <w:t>水库（</w:t>
      </w:r>
      <w:r>
        <w:rPr>
          <w:rFonts w:hint="eastAsia" w:cs="宋体"/>
          <w:b w:val="0"/>
          <w:bCs w:val="0"/>
          <w:color w:val="auto"/>
          <w:sz w:val="28"/>
          <w:szCs w:val="28"/>
          <w:lang w:val="en-US" w:eastAsia="zh-CN"/>
        </w:rPr>
        <w:t>万塘</w:t>
      </w:r>
      <w:r>
        <w:rPr>
          <w:rFonts w:hint="eastAsia" w:asciiTheme="minorEastAsia" w:hAnsiTheme="minorEastAsia" w:eastAsiaTheme="minorEastAsia" w:cstheme="minorEastAsia"/>
          <w:color w:val="auto"/>
          <w:sz w:val="28"/>
          <w:szCs w:val="28"/>
          <w:lang w:val="en-US" w:eastAsia="zh-CN"/>
        </w:rPr>
        <w:t>水库取水点）：</w:t>
      </w:r>
      <w:r>
        <w:rPr>
          <w:rFonts w:hint="eastAsia"/>
          <w:color w:val="auto"/>
          <w:sz w:val="28"/>
          <w:szCs w:val="36"/>
          <w:lang w:val="en-US" w:eastAsia="zh-CN"/>
        </w:rPr>
        <w:t>万塘水库地处于万塘村2、3、4、5社低洼处，2社峡沟内，水库占地面积175亩，土堆坝最高15.7米，总库容量109万立方米。于1957年建成的小（一型）水库。接100管进入</w:t>
      </w:r>
      <w:r>
        <w:rPr>
          <w:rFonts w:hint="eastAsia" w:cs="宋体"/>
          <w:b w:val="0"/>
          <w:bCs w:val="0"/>
          <w:color w:val="auto"/>
          <w:sz w:val="28"/>
          <w:szCs w:val="28"/>
          <w:lang w:val="en-US" w:eastAsia="zh-CN"/>
        </w:rPr>
        <w:t>开州区万塘水库铁桥镇福利水厂</w:t>
      </w:r>
      <w:r>
        <w:rPr>
          <w:rFonts w:hint="eastAsia" w:asciiTheme="minorEastAsia" w:hAnsiTheme="minorEastAsia" w:eastAsiaTheme="minorEastAsia" w:cstheme="minorEastAsia"/>
          <w:color w:val="auto"/>
          <w:sz w:val="28"/>
          <w:szCs w:val="28"/>
          <w:lang w:val="en-US" w:eastAsia="zh-CN"/>
        </w:rPr>
        <w:t>。取水满足铁桥镇日常用水。</w:t>
      </w:r>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ascii="宋体" w:hAnsi="宋体" w:eastAsia="宋体" w:cs="宋体"/>
          <w:sz w:val="28"/>
          <w:szCs w:val="28"/>
          <w:lang w:val="en-US" w:eastAsia="zh-CN"/>
        </w:rPr>
      </w:pPr>
      <w:r>
        <w:rPr>
          <w:rFonts w:hint="eastAsia" w:asciiTheme="minorEastAsia" w:hAnsiTheme="minorEastAsia" w:eastAsiaTheme="minorEastAsia" w:cstheme="minorEastAsia"/>
          <w:color w:val="auto"/>
          <w:sz w:val="28"/>
          <w:szCs w:val="28"/>
          <w:lang w:val="en-US" w:eastAsia="zh-CN"/>
        </w:rPr>
        <w:t>南河黎家堡（南河取水点）：南河黎家堡</w:t>
      </w:r>
      <w:r>
        <w:rPr>
          <w:rFonts w:hint="eastAsia" w:ascii="宋体" w:hAnsi="宋体" w:eastAsia="宋体" w:cs="宋体"/>
          <w:sz w:val="28"/>
          <w:szCs w:val="28"/>
          <w:lang w:val="en-US" w:eastAsia="zh-CN"/>
        </w:rPr>
        <w:t>取水点为</w:t>
      </w:r>
      <w:r>
        <w:rPr>
          <w:rFonts w:hint="eastAsia" w:cs="宋体"/>
          <w:sz w:val="28"/>
          <w:szCs w:val="28"/>
          <w:lang w:val="en-US" w:eastAsia="zh-CN"/>
        </w:rPr>
        <w:t>铁桥镇</w:t>
      </w:r>
      <w:r>
        <w:rPr>
          <w:rFonts w:hint="eastAsia" w:ascii="宋体" w:hAnsi="宋体" w:eastAsia="宋体" w:cs="宋体"/>
          <w:sz w:val="28"/>
          <w:szCs w:val="28"/>
          <w:lang w:val="en-US" w:eastAsia="zh-CN"/>
        </w:rPr>
        <w:t>备用取水点，</w:t>
      </w:r>
      <w:r>
        <w:rPr>
          <w:rFonts w:hint="eastAsia" w:asciiTheme="minorEastAsia" w:hAnsiTheme="minorEastAsia" w:eastAsiaTheme="minorEastAsia" w:cstheme="minorEastAsia"/>
          <w:color w:val="auto"/>
          <w:sz w:val="28"/>
          <w:szCs w:val="28"/>
          <w:lang w:val="en-US" w:eastAsia="zh-CN"/>
        </w:rPr>
        <w:t>南河</w:t>
      </w:r>
      <w:r>
        <w:rPr>
          <w:rFonts w:hint="eastAsia" w:ascii="宋体" w:hAnsi="宋体" w:eastAsia="宋体" w:cs="宋体"/>
          <w:sz w:val="28"/>
          <w:szCs w:val="28"/>
          <w:lang w:val="en-US" w:eastAsia="zh-CN"/>
        </w:rPr>
        <w:t>根据《重庆市地表水环境功能类别调整方案》（渝府发〔2012〕4号）为饮用水源点Ⅲ级水域。全水域属环境保护水域</w:t>
      </w:r>
      <w:r>
        <w:rPr>
          <w:rFonts w:hint="eastAsia" w:cs="宋体"/>
          <w:sz w:val="28"/>
          <w:szCs w:val="28"/>
          <w:lang w:val="en-US" w:eastAsia="zh-CN"/>
        </w:rPr>
        <w:t>，流域面积1709.5km</w:t>
      </w:r>
      <w:r>
        <w:rPr>
          <w:rFonts w:hint="eastAsia" w:cs="宋体"/>
          <w:sz w:val="28"/>
          <w:szCs w:val="28"/>
          <w:vertAlign w:val="superscript"/>
          <w:lang w:val="en-US" w:eastAsia="zh-CN"/>
        </w:rPr>
        <w:t>2</w:t>
      </w:r>
      <w:r>
        <w:rPr>
          <w:rFonts w:hint="eastAsia" w:ascii="宋体" w:hAnsi="宋体" w:eastAsia="宋体" w:cs="宋体"/>
          <w:sz w:val="28"/>
          <w:szCs w:val="28"/>
          <w:lang w:val="en-US"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ascii="宋体" w:hAnsi="宋体" w:eastAsia="宋体" w:cs="宋体"/>
          <w:sz w:val="28"/>
          <w:szCs w:val="28"/>
          <w:lang w:val="en-US" w:eastAsia="zh-CN"/>
        </w:rPr>
      </w:pPr>
      <w:r>
        <w:rPr>
          <w:sz w:val="28"/>
        </w:rPr>
        <mc:AlternateContent>
          <mc:Choice Requires="wps">
            <w:drawing>
              <wp:anchor distT="0" distB="0" distL="114300" distR="114300" simplePos="0" relativeHeight="252606464" behindDoc="0" locked="0" layoutInCell="1" allowOverlap="1">
                <wp:simplePos x="0" y="0"/>
                <wp:positionH relativeFrom="column">
                  <wp:posOffset>1381125</wp:posOffset>
                </wp:positionH>
                <wp:positionV relativeFrom="paragraph">
                  <wp:posOffset>2060575</wp:posOffset>
                </wp:positionV>
                <wp:extent cx="2791460" cy="410210"/>
                <wp:effectExtent l="0" t="0" r="8890" b="8890"/>
                <wp:wrapNone/>
                <wp:docPr id="29" name="文本框 29"/>
                <wp:cNvGraphicFramePr/>
                <a:graphic xmlns:a="http://schemas.openxmlformats.org/drawingml/2006/main">
                  <a:graphicData uri="http://schemas.microsoft.com/office/word/2010/wordprocessingShape">
                    <wps:wsp>
                      <wps:cNvSpPr txBox="1"/>
                      <wps:spPr>
                        <a:xfrm>
                          <a:off x="2524760" y="9391015"/>
                          <a:ext cx="2791460" cy="4102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sz w:val="28"/>
                                <w:szCs w:val="28"/>
                                <w:lang w:val="en-US" w:eastAsia="zh-CN"/>
                              </w:rPr>
                            </w:pPr>
                            <w:r>
                              <w:rPr>
                                <w:rFonts w:hint="eastAsia"/>
                                <w:b/>
                                <w:bCs/>
                                <w:sz w:val="28"/>
                                <w:szCs w:val="28"/>
                                <w:lang w:val="en-US" w:eastAsia="zh-CN"/>
                              </w:rPr>
                              <w:t>图一：万塘水库取水点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8.75pt;margin-top:162.25pt;height:32.3pt;width:219.8pt;z-index:252606464;mso-width-relative:page;mso-height-relative:page;" fillcolor="#FFFFFF [3201]" filled="t" stroked="f" coordsize="21600,21600" o:gfxdata="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i2y8x&#10;1QAAAAsBAAAPAAAAAAAAAAEAIAAAACIAAABkcnMvZG93bnJldi54bWxQSwECFAAUAAAACACHTuJA&#10;eiedR10CAACdBAAADgAAAAAAAAABACAAAAAkAQAAZHJzL2Uyb0RvYy54bWxQSwUGAAAAAAYABgBZ&#10;AQAA8wUAAAAA&#10;">
                <v:fill on="t" focussize="0,0"/>
                <v:stroke on="f" weight="0.5pt"/>
                <v:imagedata o:title=""/>
                <o:lock v:ext="edit" aspectratio="f"/>
                <v:textbox>
                  <w:txbxContent>
                    <w:p>
                      <w:pPr>
                        <w:jc w:val="center"/>
                        <w:rPr>
                          <w:rFonts w:hint="default" w:eastAsia="宋体"/>
                          <w:b/>
                          <w:bCs/>
                          <w:sz w:val="28"/>
                          <w:szCs w:val="28"/>
                          <w:lang w:val="en-US" w:eastAsia="zh-CN"/>
                        </w:rPr>
                      </w:pPr>
                      <w:r>
                        <w:rPr>
                          <w:rFonts w:hint="eastAsia"/>
                          <w:b/>
                          <w:bCs/>
                          <w:sz w:val="28"/>
                          <w:szCs w:val="28"/>
                          <w:lang w:val="en-US" w:eastAsia="zh-CN"/>
                        </w:rPr>
                        <w:t>图一：万塘水库取水点</w:t>
                      </w:r>
                    </w:p>
                  </w:txbxContent>
                </v:textbox>
              </v:shape>
            </w:pict>
          </mc:Fallback>
        </mc:AlternateContent>
      </w:r>
      <w:r>
        <w:rPr>
          <w:rFonts w:hint="eastAsia" w:ascii="宋体" w:hAnsi="宋体" w:eastAsia="宋体" w:cs="宋体"/>
          <w:sz w:val="28"/>
          <w:szCs w:val="28"/>
          <w:lang w:val="en-US" w:eastAsia="zh-CN"/>
        </w:rPr>
        <w:drawing>
          <wp:anchor distT="0" distB="0" distL="114300" distR="114300" simplePos="0" relativeHeight="252605440" behindDoc="0" locked="0" layoutInCell="1" allowOverlap="1">
            <wp:simplePos x="0" y="0"/>
            <wp:positionH relativeFrom="column">
              <wp:posOffset>1416050</wp:posOffset>
            </wp:positionH>
            <wp:positionV relativeFrom="paragraph">
              <wp:posOffset>10160</wp:posOffset>
            </wp:positionV>
            <wp:extent cx="2790190" cy="2014220"/>
            <wp:effectExtent l="0" t="0" r="10160" b="5080"/>
            <wp:wrapTopAndBottom/>
            <wp:docPr id="9" name="图片 9" descr="066436d200845ecf72e6d1d42b84c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66436d200845ecf72e6d1d42b84ccd"/>
                    <pic:cNvPicPr>
                      <a:picLocks noChangeAspect="1"/>
                    </pic:cNvPicPr>
                  </pic:nvPicPr>
                  <pic:blipFill>
                    <a:blip r:embed="rId15"/>
                    <a:stretch>
                      <a:fillRect/>
                    </a:stretch>
                  </pic:blipFill>
                  <pic:spPr>
                    <a:xfrm>
                      <a:off x="0" y="0"/>
                      <a:ext cx="2790190" cy="2014220"/>
                    </a:xfrm>
                    <a:prstGeom prst="rect">
                      <a:avLst/>
                    </a:prstGeom>
                  </pic:spPr>
                </pic:pic>
              </a:graphicData>
            </a:graphic>
          </wp:anchor>
        </w:drawing>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35" w:name="_Toc26607"/>
      <w:r>
        <w:rPr>
          <w:rFonts w:hint="eastAsia" w:asciiTheme="minorEastAsia" w:hAnsiTheme="minorEastAsia" w:eastAsiaTheme="minorEastAsia" w:cstheme="minorEastAsia"/>
          <w:b/>
          <w:bCs/>
          <w:sz w:val="28"/>
          <w:szCs w:val="28"/>
          <w:lang w:val="en-US" w:eastAsia="zh-CN"/>
        </w:rPr>
        <w:t>2.3饮用水水源保护区</w:t>
      </w:r>
      <w:bookmarkEnd w:id="35"/>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一级保护区：整个水库正常水位线以下的全部水域，正常水位线以上纵深30米范围内的陆域，但不超过分水岭。</w:t>
      </w:r>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二级保护区：一级保护区边界至正常水位纵深100米范围内的陆域，但不超过分水岭</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36" w:name="_Toc21367"/>
      <w:r>
        <w:rPr>
          <w:rFonts w:hint="eastAsia" w:asciiTheme="minorEastAsia" w:hAnsiTheme="minorEastAsia" w:eastAsiaTheme="minorEastAsia" w:cstheme="minorEastAsia"/>
          <w:b/>
          <w:bCs/>
          <w:sz w:val="28"/>
          <w:szCs w:val="28"/>
          <w:lang w:val="en-US" w:eastAsia="zh-CN"/>
        </w:rPr>
        <w:t>2.4规范性建设</w:t>
      </w:r>
      <w:bookmarkEnd w:id="36"/>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cs="宋体"/>
          <w:b w:val="0"/>
          <w:bCs w:val="0"/>
          <w:color w:val="auto"/>
          <w:sz w:val="28"/>
          <w:szCs w:val="28"/>
          <w:lang w:val="en-US" w:eastAsia="zh-CN"/>
        </w:rPr>
      </w:pPr>
      <w:r>
        <w:rPr>
          <w:rFonts w:hint="default" w:cs="宋体"/>
          <w:b w:val="0"/>
          <w:bCs w:val="0"/>
          <w:color w:val="auto"/>
          <w:sz w:val="28"/>
          <w:szCs w:val="28"/>
          <w:lang w:val="en-US" w:eastAsia="zh-CN"/>
        </w:rPr>
        <w:drawing>
          <wp:anchor distT="0" distB="0" distL="114300" distR="114300" simplePos="0" relativeHeight="252602368" behindDoc="0" locked="0" layoutInCell="1" allowOverlap="1">
            <wp:simplePos x="0" y="0"/>
            <wp:positionH relativeFrom="column">
              <wp:posOffset>2848610</wp:posOffset>
            </wp:positionH>
            <wp:positionV relativeFrom="paragraph">
              <wp:posOffset>1203325</wp:posOffset>
            </wp:positionV>
            <wp:extent cx="2747645" cy="1872615"/>
            <wp:effectExtent l="0" t="0" r="14605" b="13335"/>
            <wp:wrapTopAndBottom/>
            <wp:docPr id="30" name="图片 30" descr="96a75826a048b29ea140ec338d476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96a75826a048b29ea140ec338d476cf"/>
                    <pic:cNvPicPr>
                      <a:picLocks noChangeAspect="1"/>
                    </pic:cNvPicPr>
                  </pic:nvPicPr>
                  <pic:blipFill>
                    <a:blip r:embed="rId16"/>
                    <a:stretch>
                      <a:fillRect/>
                    </a:stretch>
                  </pic:blipFill>
                  <pic:spPr>
                    <a:xfrm>
                      <a:off x="0" y="0"/>
                      <a:ext cx="2747645" cy="1872615"/>
                    </a:xfrm>
                    <a:prstGeom prst="rect">
                      <a:avLst/>
                    </a:prstGeom>
                  </pic:spPr>
                </pic:pic>
              </a:graphicData>
            </a:graphic>
          </wp:anchor>
        </w:drawing>
      </w:r>
      <w:r>
        <w:rPr>
          <w:rFonts w:hint="default" w:cs="宋体"/>
          <w:b w:val="0"/>
          <w:bCs w:val="0"/>
          <w:color w:val="auto"/>
          <w:sz w:val="28"/>
          <w:szCs w:val="28"/>
          <w:lang w:val="en-US" w:eastAsia="zh-CN"/>
        </w:rPr>
        <w:drawing>
          <wp:anchor distT="0" distB="0" distL="114300" distR="114300" simplePos="0" relativeHeight="252601344" behindDoc="0" locked="0" layoutInCell="1" allowOverlap="1">
            <wp:simplePos x="0" y="0"/>
            <wp:positionH relativeFrom="column">
              <wp:posOffset>139065</wp:posOffset>
            </wp:positionH>
            <wp:positionV relativeFrom="paragraph">
              <wp:posOffset>1188720</wp:posOffset>
            </wp:positionV>
            <wp:extent cx="2507615" cy="1880870"/>
            <wp:effectExtent l="0" t="0" r="6985" b="5080"/>
            <wp:wrapTopAndBottom/>
            <wp:docPr id="31" name="图片 31" descr="50e90bb95dd03f27263b08a50af3e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50e90bb95dd03f27263b08a50af3ee2"/>
                    <pic:cNvPicPr>
                      <a:picLocks noChangeAspect="1"/>
                    </pic:cNvPicPr>
                  </pic:nvPicPr>
                  <pic:blipFill>
                    <a:blip r:embed="rId17"/>
                    <a:stretch>
                      <a:fillRect/>
                    </a:stretch>
                  </pic:blipFill>
                  <pic:spPr>
                    <a:xfrm>
                      <a:off x="0" y="0"/>
                      <a:ext cx="2507615" cy="1880870"/>
                    </a:xfrm>
                    <a:prstGeom prst="rect">
                      <a:avLst/>
                    </a:prstGeom>
                  </pic:spPr>
                </pic:pic>
              </a:graphicData>
            </a:graphic>
          </wp:anchor>
        </w:drawing>
      </w:r>
      <w:r>
        <w:rPr>
          <w:rFonts w:hint="eastAsia" w:cs="宋体"/>
          <w:b w:val="0"/>
          <w:bCs w:val="0"/>
          <w:color w:val="auto"/>
          <w:sz w:val="28"/>
          <w:szCs w:val="28"/>
          <w:lang w:val="en-US" w:eastAsia="zh-CN"/>
        </w:rPr>
        <w:t>设有保护区标志与警示建立了一源一事档案，并设立库长，定期巡查并设有巡查房。但警示牌、宣传牌设置不完善，未对取水口进行视频监控，未定期开展水源地环境状况评估。</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mc:AlternateContent>
          <mc:Choice Requires="wps">
            <w:drawing>
              <wp:anchor distT="0" distB="0" distL="114300" distR="114300" simplePos="0" relativeHeight="252603392" behindDoc="0" locked="0" layoutInCell="1" allowOverlap="1">
                <wp:simplePos x="0" y="0"/>
                <wp:positionH relativeFrom="column">
                  <wp:posOffset>173990</wp:posOffset>
                </wp:positionH>
                <wp:positionV relativeFrom="paragraph">
                  <wp:posOffset>1946910</wp:posOffset>
                </wp:positionV>
                <wp:extent cx="2354580" cy="466725"/>
                <wp:effectExtent l="0" t="0" r="7620" b="9525"/>
                <wp:wrapNone/>
                <wp:docPr id="33" name="文本框 33"/>
                <wp:cNvGraphicFramePr/>
                <a:graphic xmlns:a="http://schemas.openxmlformats.org/drawingml/2006/main">
                  <a:graphicData uri="http://schemas.microsoft.com/office/word/2010/wordprocessingShape">
                    <wps:wsp>
                      <wps:cNvSpPr txBox="1"/>
                      <wps:spPr>
                        <a:xfrm>
                          <a:off x="1459865" y="4097655"/>
                          <a:ext cx="2354580" cy="4667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sz w:val="28"/>
                                <w:szCs w:val="28"/>
                                <w:lang w:val="en-US" w:eastAsia="zh-CN"/>
                              </w:rPr>
                            </w:pPr>
                            <w:r>
                              <w:rPr>
                                <w:rFonts w:hint="eastAsia"/>
                                <w:b/>
                                <w:bCs/>
                                <w:sz w:val="28"/>
                                <w:szCs w:val="28"/>
                                <w:lang w:val="en-US" w:eastAsia="zh-CN"/>
                              </w:rPr>
                              <w:t>图二：饮用水源保护区标牌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7pt;margin-top:153.3pt;height:36.75pt;width:185.4pt;z-index:252603392;mso-width-relative:page;mso-height-relative:page;" fillcolor="#FFFFFF [3201]" filled="t" stroked="f" coordsize="21600,21600" o:gfxdata="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B&#10;qEb+1gAAAAoBAAAPAAAAAAAAAAEAIAAAACIAAABkcnMvZG93bnJldi54bWxQSwECFAAUAAAACACH&#10;TuJAxfUKK18CAACdBAAADgAAAAAAAAABACAAAAAlAQAAZHJzL2Uyb0RvYy54bWxQSwUGAAAAAAYA&#10;BgBZAQAA9gUAAAAA&#10;">
                <v:fill on="t" focussize="0,0"/>
                <v:stroke on="f" weight="0.5pt"/>
                <v:imagedata o:title=""/>
                <o:lock v:ext="edit" aspectratio="f"/>
                <v:textbox>
                  <w:txbxContent>
                    <w:p>
                      <w:pPr>
                        <w:rPr>
                          <w:rFonts w:hint="default" w:eastAsia="宋体"/>
                          <w:b/>
                          <w:bCs/>
                          <w:sz w:val="28"/>
                          <w:szCs w:val="28"/>
                          <w:lang w:val="en-US" w:eastAsia="zh-CN"/>
                        </w:rPr>
                      </w:pPr>
                      <w:r>
                        <w:rPr>
                          <w:rFonts w:hint="eastAsia"/>
                          <w:b/>
                          <w:bCs/>
                          <w:sz w:val="28"/>
                          <w:szCs w:val="28"/>
                          <w:lang w:val="en-US" w:eastAsia="zh-CN"/>
                        </w:rPr>
                        <w:t>图二：饮用水源保护区标牌</w:t>
                      </w:r>
                    </w:p>
                  </w:txbxContent>
                </v:textbox>
              </v:shape>
            </w:pict>
          </mc:Fallback>
        </mc:AlternateContent>
      </w:r>
      <w:r>
        <w:rPr>
          <w:rFonts w:hint="eastAsia" w:asciiTheme="minorEastAsia" w:hAnsiTheme="minorEastAsia" w:eastAsiaTheme="minorEastAsia" w:cstheme="minorEastAsia"/>
          <w:b/>
          <w:bCs/>
          <w:sz w:val="28"/>
          <w:szCs w:val="28"/>
          <w:lang w:val="en-US" w:eastAsia="zh-CN"/>
        </w:rPr>
        <mc:AlternateContent>
          <mc:Choice Requires="wps">
            <w:drawing>
              <wp:anchor distT="0" distB="0" distL="114300" distR="114300" simplePos="0" relativeHeight="252604416" behindDoc="0" locked="0" layoutInCell="1" allowOverlap="1">
                <wp:simplePos x="0" y="0"/>
                <wp:positionH relativeFrom="column">
                  <wp:posOffset>3016885</wp:posOffset>
                </wp:positionH>
                <wp:positionV relativeFrom="paragraph">
                  <wp:posOffset>1990090</wp:posOffset>
                </wp:positionV>
                <wp:extent cx="2496820" cy="400050"/>
                <wp:effectExtent l="0" t="0" r="17780" b="0"/>
                <wp:wrapNone/>
                <wp:docPr id="32" name="文本框 32"/>
                <wp:cNvGraphicFramePr/>
                <a:graphic xmlns:a="http://schemas.openxmlformats.org/drawingml/2006/main">
                  <a:graphicData uri="http://schemas.microsoft.com/office/word/2010/wordprocessingShape">
                    <wps:wsp>
                      <wps:cNvSpPr txBox="1"/>
                      <wps:spPr>
                        <a:xfrm>
                          <a:off x="4161155" y="4131945"/>
                          <a:ext cx="2496820" cy="4000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sz w:val="28"/>
                                <w:szCs w:val="28"/>
                                <w:lang w:val="en-US" w:eastAsia="zh-CN"/>
                              </w:rPr>
                            </w:pPr>
                            <w:r>
                              <w:rPr>
                                <w:rFonts w:hint="eastAsia"/>
                                <w:b/>
                                <w:bCs/>
                                <w:sz w:val="28"/>
                                <w:szCs w:val="28"/>
                                <w:lang w:val="en-US" w:eastAsia="zh-CN"/>
                              </w:rPr>
                              <w:t>图三：饮用水保护区标牌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55pt;margin-top:156.7pt;height:31.5pt;width:196.6pt;z-index:252604416;mso-width-relative:page;mso-height-relative:page;" fillcolor="#FFFFFF [3201]" filled="t" stroked="f" coordsize="21600,21600" o:gfxdata="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rgjDe&#10;1gAAAAsBAAAPAAAAAAAAAAEAIAAAACIAAABkcnMvZG93bnJldi54bWxQSwECFAAUAAAACACHTuJA&#10;+VMvjlwCAACdBAAADgAAAAAAAAABACAAAAAlAQAAZHJzL2Uyb0RvYy54bWxQSwUGAAAAAAYABgBZ&#10;AQAA8wUAAAAA&#10;">
                <v:fill on="t" focussize="0,0"/>
                <v:stroke on="f" weight="0.5pt"/>
                <v:imagedata o:title=""/>
                <o:lock v:ext="edit" aspectratio="f"/>
                <v:textbox>
                  <w:txbxContent>
                    <w:p>
                      <w:pPr>
                        <w:rPr>
                          <w:rFonts w:hint="default" w:eastAsia="宋体"/>
                          <w:b/>
                          <w:bCs/>
                          <w:sz w:val="28"/>
                          <w:szCs w:val="28"/>
                          <w:lang w:val="en-US" w:eastAsia="zh-CN"/>
                        </w:rPr>
                      </w:pPr>
                      <w:r>
                        <w:rPr>
                          <w:rFonts w:hint="eastAsia"/>
                          <w:b/>
                          <w:bCs/>
                          <w:sz w:val="28"/>
                          <w:szCs w:val="28"/>
                          <w:lang w:val="en-US" w:eastAsia="zh-CN"/>
                        </w:rPr>
                        <w:t>图三：饮用水保护区标牌</w:t>
                      </w:r>
                    </w:p>
                  </w:txbxContent>
                </v:textbox>
              </v:shape>
            </w:pict>
          </mc:Fallback>
        </mc:AlternateConten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37" w:name="_Toc29780"/>
      <w:r>
        <w:rPr>
          <w:rFonts w:hint="eastAsia" w:asciiTheme="minorEastAsia" w:hAnsiTheme="minorEastAsia" w:eastAsiaTheme="minorEastAsia" w:cstheme="minorEastAsia"/>
          <w:b/>
          <w:bCs/>
          <w:sz w:val="28"/>
          <w:szCs w:val="28"/>
          <w:lang w:val="en-US" w:eastAsia="zh-CN"/>
        </w:rPr>
        <w:t>2.5水源水质情况</w:t>
      </w:r>
      <w:bookmarkEnd w:id="37"/>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560" w:firstLineChars="200"/>
        <w:textAlignment w:val="auto"/>
        <w:rPr>
          <w:rFonts w:hint="eastAsia" w:cs="宋体"/>
          <w:b w:val="0"/>
          <w:bCs w:val="0"/>
          <w:color w:val="auto"/>
          <w:sz w:val="28"/>
          <w:szCs w:val="28"/>
          <w:lang w:val="en-US" w:eastAsia="zh-CN"/>
        </w:rPr>
      </w:pPr>
      <w:r>
        <w:rPr>
          <w:rFonts w:hint="eastAsia" w:cs="宋体"/>
          <w:b w:val="0"/>
          <w:bCs w:val="0"/>
          <w:color w:val="auto"/>
          <w:sz w:val="28"/>
          <w:szCs w:val="28"/>
          <w:lang w:val="en-US" w:eastAsia="zh-CN"/>
        </w:rPr>
        <w:t>根据万塘水库铁桥镇福利水厂监测数据显示，水质达标。</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38" w:name="_Toc14070"/>
      <w:r>
        <w:rPr>
          <w:rFonts w:hint="eastAsia" w:asciiTheme="minorEastAsia" w:hAnsiTheme="minorEastAsia" w:eastAsiaTheme="minorEastAsia" w:cstheme="minorEastAsia"/>
          <w:b/>
          <w:bCs/>
          <w:sz w:val="28"/>
          <w:szCs w:val="28"/>
          <w:lang w:val="en-US" w:eastAsia="zh-CN"/>
        </w:rPr>
        <w:t>2.6水源地环境风险</w:t>
      </w:r>
      <w:bookmarkEnd w:id="38"/>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560" w:firstLineChars="200"/>
        <w:textAlignment w:val="auto"/>
        <w:rPr>
          <w:rFonts w:hint="eastAsia" w:cs="宋体"/>
          <w:b w:val="0"/>
          <w:bCs w:val="0"/>
          <w:color w:val="auto"/>
          <w:sz w:val="28"/>
          <w:szCs w:val="28"/>
          <w:lang w:val="en-US" w:eastAsia="zh-CN"/>
        </w:rPr>
      </w:pPr>
      <w:bookmarkStart w:id="39" w:name="_Toc16274_WPSOffice_Level1"/>
      <w:bookmarkStart w:id="40" w:name="_Toc19968_WPSOffice_Level1"/>
      <w:bookmarkStart w:id="41" w:name="_Toc27882"/>
      <w:bookmarkStart w:id="42" w:name="_Toc15377_WPSOffice_Level1"/>
      <w:bookmarkStart w:id="43" w:name="_Toc13873_WPSOffice_Level1"/>
      <w:r>
        <w:rPr>
          <w:rFonts w:hint="eastAsia" w:cs="宋体"/>
          <w:b w:val="0"/>
          <w:bCs w:val="0"/>
          <w:color w:val="auto"/>
          <w:sz w:val="28"/>
          <w:szCs w:val="28"/>
          <w:lang w:val="en-US" w:eastAsia="zh-CN"/>
        </w:rPr>
        <w:t>根据用水水源环境风险评估方法，分析得出，铁桥镇水源地固定源、流动源、非点源评分分别为 Rp=0、Rf=1、Ry=0，表明铁桥镇水源地固定源、非点源风险在可接受风险水平内。表明流动源风险应采取风险应急措施。</w:t>
      </w:r>
    </w:p>
    <w:p>
      <w:pPr>
        <w:pageBreakBefore w:val="0"/>
        <w:widowControl w:val="0"/>
        <w:kinsoku/>
        <w:wordWrap/>
        <w:overflowPunct/>
        <w:topLinePunct w:val="0"/>
        <w:bidi w:val="0"/>
        <w:spacing w:line="360" w:lineRule="auto"/>
        <w:ind w:left="0" w:leftChars="0"/>
        <w:textAlignment w:val="auto"/>
        <w:rPr>
          <w:rFonts w:hint="eastAsia" w:cs="宋体"/>
          <w:b w:val="0"/>
          <w:bCs w:val="0"/>
          <w:color w:val="auto"/>
          <w:sz w:val="28"/>
          <w:szCs w:val="28"/>
          <w:lang w:val="en-US" w:eastAsia="zh-CN"/>
        </w:rPr>
      </w:pPr>
      <w:r>
        <w:rPr>
          <w:rFonts w:hint="eastAsia" w:cs="宋体"/>
          <w:b w:val="0"/>
          <w:bCs w:val="0"/>
          <w:color w:val="auto"/>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sz w:val="32"/>
          <w:szCs w:val="32"/>
          <w:lang w:val="en-US" w:eastAsia="zh-CN"/>
        </w:rPr>
      </w:pPr>
      <w:bookmarkStart w:id="44" w:name="_Toc10220"/>
      <w:r>
        <w:rPr>
          <w:rFonts w:hint="eastAsia" w:asciiTheme="minorEastAsia" w:hAnsiTheme="minorEastAsia" w:eastAsiaTheme="minorEastAsia" w:cstheme="minorEastAsia"/>
          <w:b/>
          <w:bCs/>
          <w:sz w:val="32"/>
          <w:szCs w:val="32"/>
          <w:lang w:val="en-US" w:eastAsia="zh-CN"/>
        </w:rPr>
        <w:t>3 应急组织</w:t>
      </w:r>
      <w:bookmarkEnd w:id="39"/>
      <w:bookmarkEnd w:id="40"/>
      <w:bookmarkEnd w:id="41"/>
      <w:bookmarkEnd w:id="42"/>
      <w:bookmarkEnd w:id="43"/>
      <w:r>
        <w:rPr>
          <w:rFonts w:hint="eastAsia" w:asciiTheme="minorEastAsia" w:hAnsiTheme="minorEastAsia" w:eastAsiaTheme="minorEastAsia" w:cstheme="minorEastAsia"/>
          <w:b/>
          <w:bCs/>
          <w:sz w:val="32"/>
          <w:szCs w:val="32"/>
          <w:lang w:val="en-US" w:eastAsia="zh-CN"/>
        </w:rPr>
        <w:t>指挥体系</w:t>
      </w:r>
      <w:bookmarkEnd w:id="44"/>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45" w:name="_Toc30339"/>
      <w:bookmarkStart w:id="46" w:name="_Toc998"/>
      <w:bookmarkStart w:id="47" w:name="_Toc28195"/>
      <w:r>
        <w:rPr>
          <w:rFonts w:hint="eastAsia" w:asciiTheme="minorEastAsia" w:hAnsiTheme="minorEastAsia" w:eastAsiaTheme="minorEastAsia" w:cstheme="minorEastAsia"/>
          <w:b/>
          <w:bCs/>
          <w:sz w:val="28"/>
          <w:szCs w:val="28"/>
          <w:lang w:val="en-US" w:eastAsia="zh-CN"/>
        </w:rPr>
        <w:t>3.1</w:t>
      </w:r>
      <w:bookmarkEnd w:id="45"/>
      <w:bookmarkEnd w:id="46"/>
      <w:r>
        <w:rPr>
          <w:rFonts w:hint="eastAsia" w:asciiTheme="minorEastAsia" w:hAnsiTheme="minorEastAsia" w:eastAsiaTheme="minorEastAsia" w:cstheme="minorEastAsia"/>
          <w:b/>
          <w:bCs/>
          <w:sz w:val="28"/>
          <w:szCs w:val="28"/>
          <w:lang w:val="en-US" w:eastAsia="zh-CN"/>
        </w:rPr>
        <w:t xml:space="preserve"> 应急组织指挥机构</w:t>
      </w:r>
      <w:bookmarkEnd w:id="47"/>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3.1.1 机构组成</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bookmarkStart w:id="48" w:name="_Toc594"/>
      <w:r>
        <w:rPr>
          <w:rFonts w:hint="eastAsia" w:cs="宋体"/>
          <w:b w:val="0"/>
          <w:bCs w:val="0"/>
          <w:color w:val="auto"/>
          <w:sz w:val="28"/>
          <w:szCs w:val="28"/>
          <w:lang w:val="en-US" w:eastAsia="zh-CN"/>
        </w:rPr>
        <w:t>铁桥镇集中式</w:t>
      </w:r>
      <w:r>
        <w:rPr>
          <w:rFonts w:hint="eastAsia" w:ascii="宋体" w:hAnsi="宋体" w:eastAsia="宋体" w:cs="宋体"/>
          <w:color w:val="auto"/>
          <w:sz w:val="28"/>
          <w:szCs w:val="28"/>
          <w:lang w:val="en-US" w:eastAsia="zh-CN"/>
        </w:rPr>
        <w:t>地表水饮用水水源地突发环境事件应急指挥部在</w:t>
      </w:r>
      <w:r>
        <w:rPr>
          <w:rFonts w:hint="eastAsia" w:cs="宋体"/>
          <w:b w:val="0"/>
          <w:bCs w:val="0"/>
          <w:color w:val="auto"/>
          <w:sz w:val="28"/>
          <w:szCs w:val="28"/>
          <w:lang w:val="en-US" w:eastAsia="zh-CN"/>
        </w:rPr>
        <w:t>铁桥镇人民政府的统一指挥下负责领导、组织和协调全镇涉及饮用水源突发环境事件应急工作。总指挥由铁桥镇镇长担任，副总指挥由铁桥镇副镇长担任。成员由党政办、平安办、应急办、财政办、规建环办、社事办、执法办、水利服务中心、农业服务中心、人居环境服务中心、综合执法大队、派出所、卫生院、供电所负责人和各村（社区）挂片领导、支部书记、主任担任，下设应急办公室和四个应急处置组（现场处置组、综合协调组、应急保障组、应急监测组）。</w:t>
      </w:r>
    </w:p>
    <w:p>
      <w:p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br w:type="page"/>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3.1.2机构职责</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3.1.2.1总指挥职责：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1）宣布成立现场应急指挥部；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2）发生水源地突发环境事件时，亲自或委托副总指挥赶赴现场进行指挥；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3）组织开展现场应急处置；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4）贯彻执行当地或上级人民政府及有关部门的应急指令；</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5）研判突发环境事件发展态势，组织制定并批准现场处置方案；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6）按照预警、应急启动或终止条件，决定预案的启动或终止；</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7）组织开展损害评估等后期工作。</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3.1.2.2副总指挥职责：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1）协助总指挥组织开展现场应急处置；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2）根据分工或总指挥安排，负责现场的具体指挥协调；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3）负责提出有关应急处置建议；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4）负责向场外人员通报有关应急信息；</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5）负责协调现场与场外应急处置工作；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6）停止取水后，负责协调保障居民用水；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7）处置现场出现的紧急情况。</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3.1.2.3应急办公室职责：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1）贯彻执行应急指挥部的指令和要求；</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2）负责信息汇总上报，并与有关的外部应急部门、组织和机构进行联络；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3）负责调动应急人员、调配应急资源和联络外部应急组织或机构，组织和协调有关部门参与现场应急处置。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sz w:val="28"/>
          <w:szCs w:val="28"/>
          <w:lang w:val="en-US" w:eastAsia="zh-CN"/>
        </w:rPr>
      </w:pPr>
      <w:bookmarkStart w:id="49" w:name="_Toc6645"/>
      <w:r>
        <w:rPr>
          <w:rFonts w:hint="eastAsia"/>
          <w:b/>
          <w:bCs/>
          <w:sz w:val="28"/>
          <w:szCs w:val="28"/>
          <w:lang w:val="en-US" w:eastAsia="zh-CN"/>
        </w:rPr>
        <w:t>3.1.3现场应急工作组：</w:t>
      </w:r>
      <w:bookmarkEnd w:id="49"/>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sz w:val="28"/>
          <w:szCs w:val="28"/>
          <w:lang w:val="en-US" w:eastAsia="zh-CN"/>
        </w:rPr>
      </w:pPr>
      <w:r>
        <w:rPr>
          <w:rFonts w:hint="eastAsia"/>
          <w:b/>
          <w:bCs/>
          <w:sz w:val="28"/>
          <w:szCs w:val="28"/>
          <w:lang w:val="en-US" w:eastAsia="zh-CN"/>
        </w:rPr>
        <w:t>3.1.3.1 现场处置组：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1）负责组织制定应急处置方案；负责现场污染物消除、围堵和削减，以及污染物收集、转运和异地处置等工作。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2）封锁现场，实施交通管制；监控事件责任人员；加强受影响人群临时饮用水供应；加强重要生活必需品等商品市场监管和 调控；加强社会治安管理，防止发生群体性事件；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3）组织开展伤病员医疗救治、应急心理援助；指导和协助开展 受污染人员的去污洗消工作；对现场进行消毒防疫，防范因环境 突发事件造成中毒事件等。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sz w:val="28"/>
          <w:szCs w:val="28"/>
          <w:lang w:val="en-US" w:eastAsia="zh-CN"/>
        </w:rPr>
      </w:pPr>
      <w:r>
        <w:rPr>
          <w:rFonts w:hint="eastAsia"/>
          <w:b/>
          <w:bCs/>
          <w:sz w:val="28"/>
          <w:szCs w:val="28"/>
          <w:lang w:val="en-US" w:eastAsia="zh-CN"/>
        </w:rPr>
        <w:t>3.1.3.2综合协调组：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1）制定人员疏散方案，并组织实施，做好受影响人员转移疏散和临时安置。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2）负责制定应急供水保障方案；负责指导供水单位启动深度处 理设施或备用水源以及应急供水车等措施，保障居民用水。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3）统一组织开展事件进展、应急工作情况信息发布，开展新闻 宣传报道；收集舆情和社会公众动态，加强媒体和互联网管理；</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4）协调污染损害赔付及灾民安抚工作。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sz w:val="28"/>
          <w:szCs w:val="28"/>
          <w:lang w:val="en-US" w:eastAsia="zh-CN"/>
        </w:rPr>
      </w:pPr>
      <w:r>
        <w:rPr>
          <w:rFonts w:hint="eastAsia"/>
          <w:b/>
          <w:bCs/>
          <w:sz w:val="28"/>
          <w:szCs w:val="28"/>
          <w:lang w:val="en-US" w:eastAsia="zh-CN"/>
        </w:rPr>
        <w:t>3.1.3.3应急保障组：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1）负责制定应急物资保障方案；负责调配应急物资、协调运输车辆；</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2）负责协调补偿征用物资、应急救援和污染物处置等费用。调查引发饮用水源突发污染事件的原因、财产损失和人员伤亡等情况。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sz w:val="28"/>
          <w:szCs w:val="28"/>
          <w:lang w:val="en-US" w:eastAsia="zh-CN"/>
        </w:rPr>
      </w:pPr>
      <w:r>
        <w:rPr>
          <w:rFonts w:hint="eastAsia"/>
          <w:b/>
          <w:bCs/>
          <w:sz w:val="28"/>
          <w:szCs w:val="28"/>
          <w:lang w:val="en-US" w:eastAsia="zh-CN"/>
        </w:rPr>
        <w:t>3.1.3.4应急监测组：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负责制定应急监测方案；负责在污染带上游、下游分别设置断面进行应急监测；负责应急期间的水源地、供水单位和管网末梢水的水质监测；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1"/>
        <w:rPr>
          <w:rFonts w:hint="eastAsia"/>
          <w:b/>
          <w:bCs/>
          <w:color w:val="auto"/>
          <w:sz w:val="28"/>
          <w:szCs w:val="28"/>
          <w:lang w:val="en-US" w:eastAsia="zh-CN"/>
        </w:rPr>
      </w:pPr>
      <w:bookmarkStart w:id="50" w:name="_Toc17703"/>
      <w:r>
        <w:rPr>
          <w:rFonts w:hint="eastAsia"/>
          <w:b/>
          <w:bCs/>
          <w:color w:val="auto"/>
          <w:sz w:val="28"/>
          <w:szCs w:val="28"/>
          <w:lang w:val="en-US" w:eastAsia="zh-CN"/>
        </w:rPr>
        <w:t>3.2各部门常态职责：</w:t>
      </w:r>
      <w:bookmarkEnd w:id="50"/>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农业服务中心：</w:t>
      </w:r>
      <w:r>
        <w:rPr>
          <w:rFonts w:hint="eastAsia" w:asciiTheme="minorEastAsia" w:hAnsiTheme="minorEastAsia" w:eastAsiaTheme="minorEastAsia" w:cstheme="minorEastAsia"/>
          <w:sz w:val="28"/>
          <w:szCs w:val="28"/>
          <w:lang w:val="en-US" w:eastAsia="zh-CN"/>
        </w:rPr>
        <w:t>承担扶贫开发、三峡后续工作以及农技、农机、林业、水产、畜牧兽医等方面的技术推广、信息服务、灾害防治以及农产品质量安全等职责。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文化服务中心：</w:t>
      </w:r>
      <w:r>
        <w:rPr>
          <w:rFonts w:hint="eastAsia" w:asciiTheme="minorEastAsia" w:hAnsiTheme="minorEastAsia" w:eastAsiaTheme="minorEastAsia" w:cstheme="minorEastAsia"/>
          <w:sz w:val="28"/>
          <w:szCs w:val="28"/>
          <w:lang w:val="en-US" w:eastAsia="zh-CN"/>
        </w:rPr>
        <w:t>负责文化、广播电视、体育、科技培训等职责。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劳动就业和社会保障服务所：</w:t>
      </w:r>
      <w:r>
        <w:rPr>
          <w:rFonts w:hint="eastAsia" w:asciiTheme="minorEastAsia" w:hAnsiTheme="minorEastAsia" w:eastAsiaTheme="minorEastAsia" w:cstheme="minorEastAsia"/>
          <w:sz w:val="28"/>
          <w:szCs w:val="28"/>
          <w:lang w:val="en-US" w:eastAsia="zh-CN"/>
        </w:rPr>
        <w:t>负责劳动和社会保障、就业等服务职责。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退役军人服务站：</w:t>
      </w:r>
      <w:r>
        <w:rPr>
          <w:rFonts w:hint="eastAsia" w:asciiTheme="minorEastAsia" w:hAnsiTheme="minorEastAsia" w:eastAsiaTheme="minorEastAsia" w:cstheme="minorEastAsia"/>
          <w:sz w:val="28"/>
          <w:szCs w:val="28"/>
          <w:lang w:val="en-US" w:eastAsia="zh-CN"/>
        </w:rPr>
        <w:t>负责宣传相关政策和法律法规,承担退役军人来访接待、慰问帮扶、指导就业创业等职责。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综合行政执法大队：</w:t>
      </w:r>
      <w:r>
        <w:rPr>
          <w:rFonts w:hint="eastAsia" w:asciiTheme="minorEastAsia" w:hAnsiTheme="minorEastAsia" w:eastAsiaTheme="minorEastAsia" w:cstheme="minorEastAsia"/>
          <w:sz w:val="28"/>
          <w:szCs w:val="28"/>
          <w:lang w:val="en-US" w:eastAsia="zh-CN"/>
        </w:rPr>
        <w:t>与综合行政执法办公室实行统筹运行的机制，承担应履行的所有行政执法职责。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人居环境服务中心：</w:t>
      </w:r>
      <w:r>
        <w:rPr>
          <w:rFonts w:hint="eastAsia" w:asciiTheme="minorEastAsia" w:hAnsiTheme="minorEastAsia" w:eastAsiaTheme="minorEastAsia" w:cstheme="minorEastAsia"/>
          <w:sz w:val="28"/>
          <w:szCs w:val="28"/>
          <w:lang w:val="en-US" w:eastAsia="zh-CN"/>
        </w:rPr>
        <w:t>负责人居环境综合整治、清洁保洁、生活垃圾污水治理、厕所革命、村容村貌提升和绿化美化等职责。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水利服务中心：</w:t>
      </w:r>
      <w:r>
        <w:rPr>
          <w:rFonts w:hint="eastAsia" w:asciiTheme="minorEastAsia" w:hAnsiTheme="minorEastAsia" w:eastAsiaTheme="minorEastAsia" w:cstheme="minorEastAsia"/>
          <w:sz w:val="28"/>
          <w:szCs w:val="28"/>
          <w:lang w:val="en-US" w:eastAsia="zh-CN"/>
        </w:rPr>
        <w:t>负责水资源的保护与管理，按权限承担水利工程的日常运行管理工作。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宋体" w:hAnsi="宋体" w:eastAsia="宋体" w:cs="宋体"/>
          <w:sz w:val="28"/>
          <w:szCs w:val="28"/>
          <w:lang w:val="en-US" w:eastAsia="zh-CN"/>
        </w:rPr>
      </w:pPr>
      <w:r>
        <w:rPr>
          <w:rFonts w:hint="default" w:ascii="宋体" w:hAnsi="宋体" w:eastAsia="宋体" w:cs="宋体"/>
          <w:b/>
          <w:bCs/>
          <w:sz w:val="28"/>
          <w:szCs w:val="28"/>
          <w:lang w:val="en-US" w:eastAsia="zh-CN"/>
        </w:rPr>
        <w:t>党政办公室</w:t>
      </w:r>
      <w:r>
        <w:rPr>
          <w:rFonts w:hint="eastAsia" w:cs="宋体"/>
          <w:b/>
          <w:bCs/>
          <w:sz w:val="28"/>
          <w:szCs w:val="28"/>
          <w:lang w:val="en-US" w:eastAsia="zh-CN"/>
        </w:rPr>
        <w:t>：</w:t>
      </w:r>
      <w:r>
        <w:rPr>
          <w:rFonts w:hint="default" w:ascii="宋体" w:hAnsi="宋体" w:eastAsia="宋体" w:cs="宋体"/>
          <w:sz w:val="28"/>
          <w:szCs w:val="28"/>
          <w:lang w:val="en-US" w:eastAsia="zh-CN"/>
        </w:rPr>
        <w:t>主要负责综合协调、目标管理、文电、机要保密、会务、档案、印章管理、机关值班、后勤保障等职责。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宋体" w:hAnsi="宋体" w:eastAsia="宋体" w:cs="宋体"/>
          <w:sz w:val="28"/>
          <w:szCs w:val="28"/>
          <w:lang w:val="en-US" w:eastAsia="zh-CN"/>
        </w:rPr>
      </w:pPr>
      <w:r>
        <w:rPr>
          <w:rFonts w:hint="default" w:ascii="宋体" w:hAnsi="宋体" w:eastAsia="宋体" w:cs="宋体"/>
          <w:b/>
          <w:bCs/>
          <w:sz w:val="28"/>
          <w:szCs w:val="28"/>
          <w:lang w:val="en-US" w:eastAsia="zh-CN"/>
        </w:rPr>
        <w:t>党建工作办公室</w:t>
      </w:r>
      <w:r>
        <w:rPr>
          <w:rFonts w:hint="eastAsia" w:cs="宋体"/>
          <w:b/>
          <w:bCs/>
          <w:sz w:val="28"/>
          <w:szCs w:val="28"/>
          <w:lang w:val="en-US" w:eastAsia="zh-CN"/>
        </w:rPr>
        <w:t>：</w:t>
      </w:r>
      <w:r>
        <w:rPr>
          <w:rFonts w:hint="default" w:ascii="宋体" w:hAnsi="宋体" w:eastAsia="宋体" w:cs="宋体"/>
          <w:sz w:val="28"/>
          <w:szCs w:val="28"/>
          <w:lang w:val="en-US" w:eastAsia="zh-CN"/>
        </w:rPr>
        <w:t>主要负责组织人事、基层党建、宣传、统战、编制、民宗侨台、群团等工作职责。汉丰、文峰、云枫街道党建工作办公室增加承担政协委员地区小组的日常工作职责。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宋体" w:hAnsi="宋体" w:eastAsia="宋体" w:cs="宋体"/>
          <w:sz w:val="28"/>
          <w:szCs w:val="28"/>
          <w:lang w:val="en-US" w:eastAsia="zh-CN"/>
        </w:rPr>
      </w:pPr>
      <w:r>
        <w:rPr>
          <w:rFonts w:hint="default" w:ascii="宋体" w:hAnsi="宋体" w:eastAsia="宋体" w:cs="宋体"/>
          <w:b/>
          <w:bCs/>
          <w:sz w:val="28"/>
          <w:szCs w:val="28"/>
          <w:lang w:val="en-US" w:eastAsia="zh-CN"/>
        </w:rPr>
        <w:t>经济发展办公室</w:t>
      </w:r>
      <w:r>
        <w:rPr>
          <w:rFonts w:hint="eastAsia" w:cs="宋体"/>
          <w:b/>
          <w:bCs/>
          <w:sz w:val="28"/>
          <w:szCs w:val="28"/>
          <w:lang w:val="en-US" w:eastAsia="zh-CN"/>
        </w:rPr>
        <w:t>：</w:t>
      </w:r>
      <w:r>
        <w:rPr>
          <w:rFonts w:hint="default" w:ascii="宋体" w:hAnsi="宋体" w:eastAsia="宋体" w:cs="宋体"/>
          <w:sz w:val="28"/>
          <w:szCs w:val="28"/>
          <w:lang w:val="en-US" w:eastAsia="zh-CN"/>
        </w:rPr>
        <w:t>主要负责发展改革扶贫开发、农林牧渔、水利、科技、经济和信息化、商务、农村经营管理、产业结构调整、经济社会统计、招商投资等职责。承担移民搬迁安置有关后续工作,负责三峡后续项目及对口支援项目的策划、申报、组织实施、资金管理、档案收集整理等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宋体" w:hAnsi="宋体" w:eastAsia="宋体" w:cs="宋体"/>
          <w:sz w:val="28"/>
          <w:szCs w:val="28"/>
          <w:lang w:val="en-US" w:eastAsia="zh-CN"/>
        </w:rPr>
      </w:pPr>
      <w:r>
        <w:rPr>
          <w:rFonts w:hint="default" w:ascii="宋体" w:hAnsi="宋体" w:eastAsia="宋体" w:cs="宋体"/>
          <w:b/>
          <w:bCs/>
          <w:sz w:val="28"/>
          <w:szCs w:val="28"/>
          <w:lang w:val="en-US" w:eastAsia="zh-CN"/>
        </w:rPr>
        <w:t>社会事务办公室</w:t>
      </w:r>
      <w:r>
        <w:rPr>
          <w:rFonts w:hint="eastAsia" w:cs="宋体"/>
          <w:b/>
          <w:bCs/>
          <w:sz w:val="28"/>
          <w:szCs w:val="28"/>
          <w:lang w:val="en-US" w:eastAsia="zh-CN"/>
        </w:rPr>
        <w:t>：</w:t>
      </w:r>
      <w:r>
        <w:rPr>
          <w:rFonts w:hint="default" w:ascii="宋体" w:hAnsi="宋体" w:eastAsia="宋体" w:cs="宋体"/>
          <w:sz w:val="28"/>
          <w:szCs w:val="28"/>
          <w:lang w:val="en-US" w:eastAsia="zh-CN"/>
        </w:rPr>
        <w:t>主要负责民政、教育、卫生健康、老龄工作、文化体育、乡村旅游、退役军人事务、社会救助、残疾人事业、劳动就业、医疗和社会保障、政务服务等职责。街道社会事务办公室增加物业管理职责。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宋体" w:hAnsi="宋体" w:eastAsia="宋体" w:cs="宋体"/>
          <w:sz w:val="28"/>
          <w:szCs w:val="28"/>
          <w:lang w:val="en-US" w:eastAsia="zh-CN"/>
        </w:rPr>
      </w:pPr>
      <w:r>
        <w:rPr>
          <w:rFonts w:hint="default" w:ascii="宋体" w:hAnsi="宋体" w:eastAsia="宋体" w:cs="宋体"/>
          <w:b/>
          <w:bCs/>
          <w:sz w:val="28"/>
          <w:szCs w:val="28"/>
          <w:lang w:val="en-US" w:eastAsia="zh-CN"/>
        </w:rPr>
        <w:t>平安建设办公室</w:t>
      </w:r>
      <w:r>
        <w:rPr>
          <w:rFonts w:hint="eastAsia" w:cs="宋体"/>
          <w:b/>
          <w:bCs/>
          <w:sz w:val="28"/>
          <w:szCs w:val="28"/>
          <w:lang w:val="en-US" w:eastAsia="zh-CN"/>
        </w:rPr>
        <w:t>：</w:t>
      </w:r>
      <w:r>
        <w:rPr>
          <w:rFonts w:hint="default" w:ascii="宋体" w:hAnsi="宋体" w:eastAsia="宋体" w:cs="宋体"/>
          <w:sz w:val="28"/>
          <w:szCs w:val="28"/>
          <w:lang w:val="en-US" w:eastAsia="zh-CN"/>
        </w:rPr>
        <w:t>主要负责法治建设、加强和创新社会治理,承担国家安全教育、网络安全、禁毒和反邪教、信访、稳定、矛盾纠纷排查化解、重大风险防范化解等工作。统筹做好平安创建、扫黑除恶、人民调解、社会治安专项整治行动等平安建设工作,组织协调流动人口、特殊人群和重点青少年群体等服务管理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宋体" w:hAnsi="宋体" w:eastAsia="宋体" w:cs="宋体"/>
          <w:sz w:val="28"/>
          <w:szCs w:val="28"/>
          <w:lang w:val="en-US" w:eastAsia="zh-CN"/>
        </w:rPr>
      </w:pPr>
      <w:r>
        <w:rPr>
          <w:rFonts w:hint="default" w:ascii="宋体" w:hAnsi="宋体" w:eastAsia="宋体" w:cs="宋体"/>
          <w:b/>
          <w:bCs/>
          <w:sz w:val="28"/>
          <w:szCs w:val="28"/>
          <w:lang w:val="en-US" w:eastAsia="zh-CN"/>
        </w:rPr>
        <w:t>规划建设管理环保办公室</w:t>
      </w:r>
      <w:r>
        <w:rPr>
          <w:rFonts w:hint="eastAsia" w:cs="宋体"/>
          <w:b/>
          <w:bCs/>
          <w:sz w:val="28"/>
          <w:szCs w:val="28"/>
          <w:lang w:val="en-US" w:eastAsia="zh-CN"/>
        </w:rPr>
        <w:t>：</w:t>
      </w:r>
      <w:r>
        <w:rPr>
          <w:rFonts w:hint="default" w:ascii="宋体" w:hAnsi="宋体" w:eastAsia="宋体" w:cs="宋体"/>
          <w:sz w:val="28"/>
          <w:szCs w:val="28"/>
          <w:lang w:val="en-US" w:eastAsia="zh-CN"/>
        </w:rPr>
        <w:t>主要负责村镇规划、村镇建设、自然资源、房屋管理、市政公用、市容环卫、城镇管理、生态环境、地灾防治、土地整治和复垦开发管理职责,负责辖区人居环境、乡村公路建设和管养等职责。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宋体" w:hAnsi="宋体" w:eastAsia="宋体" w:cs="宋体"/>
          <w:sz w:val="28"/>
          <w:szCs w:val="28"/>
          <w:lang w:val="en-US" w:eastAsia="zh-CN"/>
        </w:rPr>
      </w:pPr>
      <w:r>
        <w:rPr>
          <w:rFonts w:hint="default" w:ascii="宋体" w:hAnsi="宋体" w:eastAsia="宋体" w:cs="宋体"/>
          <w:b/>
          <w:bCs/>
          <w:sz w:val="28"/>
          <w:szCs w:val="28"/>
          <w:lang w:val="en-US" w:eastAsia="zh-CN"/>
        </w:rPr>
        <w:t>财政办公室</w:t>
      </w:r>
      <w:r>
        <w:rPr>
          <w:rFonts w:hint="eastAsia" w:cs="宋体"/>
          <w:b/>
          <w:bCs/>
          <w:sz w:val="28"/>
          <w:szCs w:val="28"/>
          <w:lang w:val="en-US" w:eastAsia="zh-CN"/>
        </w:rPr>
        <w:t>：</w:t>
      </w:r>
      <w:r>
        <w:rPr>
          <w:rFonts w:hint="default" w:ascii="宋体" w:hAnsi="宋体" w:eastAsia="宋体" w:cs="宋体"/>
          <w:sz w:val="28"/>
          <w:szCs w:val="28"/>
          <w:lang w:val="en-US" w:eastAsia="zh-CN"/>
        </w:rPr>
        <w:t>主要负责财政收支、预决算、总会计、惠衣资金兑付等财务管理,负责国有资产管理、财政资金的监督检查、绩效评价,承担村级财务和社区财务等各项资金的发放和监管、财会人员培训等职责。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宋体" w:hAnsi="宋体" w:eastAsia="宋体" w:cs="宋体"/>
          <w:sz w:val="28"/>
          <w:szCs w:val="28"/>
          <w:lang w:val="en-US" w:eastAsia="zh-CN"/>
        </w:rPr>
      </w:pPr>
      <w:r>
        <w:rPr>
          <w:rFonts w:hint="default" w:ascii="宋体" w:hAnsi="宋体" w:eastAsia="宋体" w:cs="宋体"/>
          <w:b/>
          <w:bCs/>
          <w:sz w:val="28"/>
          <w:szCs w:val="28"/>
          <w:lang w:val="en-US" w:eastAsia="zh-CN"/>
        </w:rPr>
        <w:t>应急管理办公室</w:t>
      </w:r>
      <w:r>
        <w:rPr>
          <w:rFonts w:hint="eastAsia" w:cs="宋体"/>
          <w:b/>
          <w:bCs/>
          <w:sz w:val="28"/>
          <w:szCs w:val="28"/>
          <w:lang w:val="en-US" w:eastAsia="zh-CN"/>
        </w:rPr>
        <w:t>：</w:t>
      </w:r>
      <w:r>
        <w:rPr>
          <w:rFonts w:hint="default" w:ascii="宋体" w:hAnsi="宋体" w:eastAsia="宋体" w:cs="宋体"/>
          <w:sz w:val="28"/>
          <w:szCs w:val="28"/>
          <w:lang w:val="en-US" w:eastAsia="zh-CN"/>
        </w:rPr>
        <w:t>主要负责安全生产事故类、自然灾害类等突发事件处置和综合防灾减灾教灾工作。负责安全生产综合监督管理工作,协助开展煤矿和非煤矿山、危险化学品、乡村道路等安全生产日常监管工作。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宋体" w:hAnsi="宋体" w:eastAsia="宋体" w:cs="宋体"/>
          <w:sz w:val="28"/>
          <w:szCs w:val="28"/>
          <w:lang w:val="en-US" w:eastAsia="zh-CN"/>
        </w:rPr>
      </w:pPr>
      <w:r>
        <w:rPr>
          <w:rFonts w:hint="default" w:ascii="宋体" w:hAnsi="宋体" w:eastAsia="宋体" w:cs="宋体"/>
          <w:b/>
          <w:bCs/>
          <w:sz w:val="28"/>
          <w:szCs w:val="28"/>
          <w:lang w:val="en-US" w:eastAsia="zh-CN"/>
        </w:rPr>
        <w:t>综合行政执法办公室</w:t>
      </w:r>
      <w:r>
        <w:rPr>
          <w:rFonts w:hint="eastAsia" w:cs="宋体"/>
          <w:b/>
          <w:bCs/>
          <w:sz w:val="28"/>
          <w:szCs w:val="28"/>
          <w:lang w:val="en-US" w:eastAsia="zh-CN"/>
        </w:rPr>
        <w:t>：</w:t>
      </w:r>
      <w:r>
        <w:rPr>
          <w:rFonts w:hint="default" w:ascii="宋体" w:hAnsi="宋体" w:eastAsia="宋体" w:cs="宋体"/>
          <w:sz w:val="28"/>
          <w:szCs w:val="28"/>
          <w:lang w:val="en-US" w:eastAsia="zh-CN"/>
        </w:rPr>
        <w:t>集中行使依法授权或委托的农林水利、规划建设、自然资源、环境保护、卫生健康、文化旅游、城市管理、民政管理、乡村道路交通安全等行政执法权。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宋体" w:hAnsi="宋体" w:eastAsia="宋体" w:cs="宋体"/>
          <w:sz w:val="28"/>
          <w:szCs w:val="28"/>
          <w:lang w:val="en-US" w:eastAsia="zh-CN"/>
        </w:rPr>
      </w:pPr>
      <w:r>
        <w:rPr>
          <w:rFonts w:hint="eastAsia" w:cs="宋体"/>
          <w:b/>
          <w:bCs/>
          <w:sz w:val="28"/>
          <w:szCs w:val="28"/>
          <w:lang w:val="en-US" w:eastAsia="zh-CN"/>
        </w:rPr>
        <w:t>镇</w:t>
      </w:r>
      <w:r>
        <w:rPr>
          <w:rFonts w:hint="default" w:ascii="宋体" w:hAnsi="宋体" w:eastAsia="宋体" w:cs="宋体"/>
          <w:b/>
          <w:bCs/>
          <w:sz w:val="28"/>
          <w:szCs w:val="28"/>
          <w:lang w:val="en-US" w:eastAsia="zh-CN"/>
        </w:rPr>
        <w:t>人民代表大会工作委员会办公室</w:t>
      </w:r>
      <w:r>
        <w:rPr>
          <w:rFonts w:hint="eastAsia" w:cs="宋体"/>
          <w:b/>
          <w:bCs/>
          <w:sz w:val="28"/>
          <w:szCs w:val="28"/>
          <w:lang w:val="en-US" w:eastAsia="zh-CN"/>
        </w:rPr>
        <w:t>：</w:t>
      </w:r>
      <w:r>
        <w:rPr>
          <w:rFonts w:hint="default" w:ascii="宋体" w:hAnsi="宋体" w:eastAsia="宋体" w:cs="宋体"/>
          <w:sz w:val="28"/>
          <w:szCs w:val="28"/>
          <w:lang w:val="en-US" w:eastAsia="zh-CN"/>
        </w:rPr>
        <w:t>负责承办人大(人大工委)的日常事务和综合协调工作。协助督查代表议案建议、批评、意见的办理工作;协助联系本级和上级人大代表,为代表履行职责提供服务;组织指导人大代表开展活动。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sz w:val="32"/>
          <w:szCs w:val="32"/>
        </w:rPr>
      </w:pPr>
      <w:bookmarkStart w:id="51" w:name="_Toc9304"/>
      <w:r>
        <w:rPr>
          <w:rFonts w:hint="eastAsia" w:asciiTheme="minorEastAsia" w:hAnsiTheme="minorEastAsia" w:eastAsiaTheme="minorEastAsia" w:cstheme="minorEastAsia"/>
          <w:b/>
          <w:bCs/>
          <w:sz w:val="32"/>
          <w:szCs w:val="32"/>
          <w:lang w:val="en-US" w:eastAsia="zh-CN"/>
        </w:rPr>
        <w:t>4应急响</w:t>
      </w:r>
      <w:r>
        <w:rPr>
          <w:rFonts w:hint="eastAsia" w:asciiTheme="minorEastAsia" w:hAnsiTheme="minorEastAsia" w:eastAsiaTheme="minorEastAsia" w:cstheme="minorEastAsia"/>
          <w:b/>
          <w:bCs/>
          <w:sz w:val="32"/>
          <w:szCs w:val="32"/>
        </w:rPr>
        <w:t>应</w:t>
      </w:r>
      <w:bookmarkEnd w:id="5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开州区铁桥镇饮用水水源地突发环境事件应急响应程序包括信息收集和研判、预警、信息报告与通报、事态研判、应急监测、污染源排查与处置、应急处置、物资调集及应急设施启用、舆情监测与信息发布、响应终止等工作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应急响应流程图见图 4-1。</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081905" cy="5481320"/>
            <wp:effectExtent l="0" t="0" r="4445" b="508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8"/>
                    <a:stretch>
                      <a:fillRect/>
                    </a:stretch>
                  </pic:blipFill>
                  <pic:spPr>
                    <a:xfrm>
                      <a:off x="0" y="0"/>
                      <a:ext cx="5081905" cy="5481320"/>
                    </a:xfrm>
                    <a:prstGeom prst="rect">
                      <a:avLst/>
                    </a:prstGeom>
                    <a:noFill/>
                    <a:ln>
                      <a:noFill/>
                    </a:ln>
                  </pic:spPr>
                </pic:pic>
              </a:graphicData>
            </a:graphic>
          </wp:inline>
        </w:drawing>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62336" behindDoc="0" locked="0" layoutInCell="1" allowOverlap="1">
                <wp:simplePos x="0" y="0"/>
                <wp:positionH relativeFrom="column">
                  <wp:posOffset>1148715</wp:posOffset>
                </wp:positionH>
                <wp:positionV relativeFrom="paragraph">
                  <wp:posOffset>53340</wp:posOffset>
                </wp:positionV>
                <wp:extent cx="3541395" cy="536575"/>
                <wp:effectExtent l="0" t="0" r="1905" b="15875"/>
                <wp:wrapNone/>
                <wp:docPr id="5" name="矩形 5"/>
                <wp:cNvGraphicFramePr/>
                <a:graphic xmlns:a="http://schemas.openxmlformats.org/drawingml/2006/main">
                  <a:graphicData uri="http://schemas.microsoft.com/office/word/2010/wordprocessingShape">
                    <wps:wsp>
                      <wps:cNvSpPr/>
                      <wps:spPr>
                        <a:xfrm>
                          <a:off x="2155825" y="8976995"/>
                          <a:ext cx="3541395" cy="536575"/>
                        </a:xfrm>
                        <a:prstGeom prst="rect">
                          <a:avLst/>
                        </a:prstGeom>
                        <a:solidFill>
                          <a:srgbClr val="FFFFFF"/>
                        </a:solidFill>
                        <a:ln w="12700" cap="flat" cmpd="sng" algn="ctr">
                          <a:noFill/>
                          <a:prstDash val="solid"/>
                          <a:miter lim="800000"/>
                        </a:ln>
                        <a:effectLst/>
                      </wps:spPr>
                      <wps:txbx>
                        <w:txbxContent>
                          <w:p>
                            <w:pPr>
                              <w:jc w:val="center"/>
                              <w:rPr>
                                <w:rFonts w:hint="eastAsia" w:ascii="宋体" w:hAnsi="宋体" w:eastAsia="宋体" w:cs="宋体"/>
                                <w:b/>
                                <w:bCs/>
                                <w:sz w:val="28"/>
                                <w:szCs w:val="28"/>
                              </w:rPr>
                            </w:pPr>
                            <w:r>
                              <w:rPr>
                                <w:rFonts w:hint="eastAsia" w:ascii="宋体" w:hAnsi="宋体" w:eastAsia="宋体" w:cs="宋体"/>
                                <w:b/>
                                <w:bCs/>
                                <w:spacing w:val="-5"/>
                                <w:w w:val="95"/>
                                <w:sz w:val="28"/>
                                <w:szCs w:val="28"/>
                              </w:rPr>
                              <w:t xml:space="preserve">图 </w:t>
                            </w:r>
                            <w:r>
                              <w:rPr>
                                <w:rFonts w:hint="eastAsia" w:ascii="宋体" w:hAnsi="宋体" w:cs="宋体"/>
                                <w:b/>
                                <w:bCs/>
                                <w:spacing w:val="-3"/>
                                <w:sz w:val="28"/>
                                <w:szCs w:val="28"/>
                                <w:lang w:val="en-US" w:eastAsia="zh-CN"/>
                              </w:rPr>
                              <w:t>4</w:t>
                            </w:r>
                            <w:r>
                              <w:rPr>
                                <w:rFonts w:hint="eastAsia" w:ascii="宋体" w:hAnsi="宋体" w:eastAsia="宋体" w:cs="宋体"/>
                                <w:b/>
                                <w:bCs/>
                                <w:spacing w:val="-3"/>
                                <w:sz w:val="28"/>
                                <w:szCs w:val="28"/>
                              </w:rPr>
                              <w:t>-1</w:t>
                            </w:r>
                            <w:r>
                              <w:rPr>
                                <w:rFonts w:hint="eastAsia" w:ascii="宋体" w:hAnsi="宋体" w:eastAsia="宋体" w:cs="宋体"/>
                                <w:b/>
                                <w:bCs/>
                                <w:spacing w:val="-5"/>
                                <w:w w:val="95"/>
                                <w:sz w:val="28"/>
                                <w:szCs w:val="28"/>
                              </w:rPr>
                              <w:t>应急响应流程图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0.45pt;margin-top:4.2pt;height:42.25pt;width:278.85pt;z-index:251662336;v-text-anchor:middle;mso-width-relative:page;mso-height-relative:page;" fillcolor="#FFFFFF" filled="t" stroked="f" coordsize="21600,21600" o:gfxdata="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AUytIjYAAAACAEAAA8AAAAA&#10;AAAAAQAgAAAAIgAAAGRycy9kb3ducmV2LnhtbFBLAQIUABQAAAAIAIdO4kB5kv3PhgIAAPAEAAAO&#10;AAAAAAAAAAEAIAAAACcBAABkcnMvZTJvRG9jLnhtbFBLBQYAAAAABgAGAFkBAAAfBgAAAAA=&#10;">
                <v:fill on="t" focussize="0,0"/>
                <v:stroke on="f" weight="1pt" miterlimit="8" joinstyle="miter"/>
                <v:imagedata o:title=""/>
                <o:lock v:ext="edit" aspectratio="f"/>
                <v:textbox>
                  <w:txbxContent>
                    <w:p>
                      <w:pPr>
                        <w:jc w:val="center"/>
                        <w:rPr>
                          <w:rFonts w:hint="eastAsia" w:ascii="宋体" w:hAnsi="宋体" w:eastAsia="宋体" w:cs="宋体"/>
                          <w:b/>
                          <w:bCs/>
                          <w:sz w:val="28"/>
                          <w:szCs w:val="28"/>
                        </w:rPr>
                      </w:pPr>
                      <w:r>
                        <w:rPr>
                          <w:rFonts w:hint="eastAsia" w:ascii="宋体" w:hAnsi="宋体" w:eastAsia="宋体" w:cs="宋体"/>
                          <w:b/>
                          <w:bCs/>
                          <w:spacing w:val="-5"/>
                          <w:w w:val="95"/>
                          <w:sz w:val="28"/>
                          <w:szCs w:val="28"/>
                        </w:rPr>
                        <w:t xml:space="preserve">图 </w:t>
                      </w:r>
                      <w:r>
                        <w:rPr>
                          <w:rFonts w:hint="eastAsia" w:ascii="宋体" w:hAnsi="宋体" w:cs="宋体"/>
                          <w:b/>
                          <w:bCs/>
                          <w:spacing w:val="-3"/>
                          <w:sz w:val="28"/>
                          <w:szCs w:val="28"/>
                          <w:lang w:val="en-US" w:eastAsia="zh-CN"/>
                        </w:rPr>
                        <w:t>4</w:t>
                      </w:r>
                      <w:r>
                        <w:rPr>
                          <w:rFonts w:hint="eastAsia" w:ascii="宋体" w:hAnsi="宋体" w:eastAsia="宋体" w:cs="宋体"/>
                          <w:b/>
                          <w:bCs/>
                          <w:spacing w:val="-3"/>
                          <w:sz w:val="28"/>
                          <w:szCs w:val="28"/>
                        </w:rPr>
                        <w:t>-1</w:t>
                      </w:r>
                      <w:r>
                        <w:rPr>
                          <w:rFonts w:hint="eastAsia" w:ascii="宋体" w:hAnsi="宋体" w:eastAsia="宋体" w:cs="宋体"/>
                          <w:b/>
                          <w:bCs/>
                          <w:spacing w:val="-5"/>
                          <w:w w:val="95"/>
                          <w:sz w:val="28"/>
                          <w:szCs w:val="28"/>
                        </w:rPr>
                        <w:t>应急响应流程图</w:t>
                      </w:r>
                    </w:p>
                  </w:txbxContent>
                </v:textbox>
              </v:rect>
            </w:pict>
          </mc:Fallback>
        </mc:AlternateConten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52" w:name="_Toc30335"/>
      <w:r>
        <w:rPr>
          <w:rFonts w:hint="eastAsia" w:asciiTheme="minorEastAsia" w:hAnsiTheme="minorEastAsia" w:eastAsiaTheme="minorEastAsia" w:cstheme="minorEastAsia"/>
          <w:b/>
          <w:bCs/>
          <w:sz w:val="28"/>
          <w:szCs w:val="28"/>
          <w:lang w:val="en-US" w:eastAsia="zh-CN"/>
        </w:rPr>
        <w:t>4.1预警</w:t>
      </w:r>
      <w:bookmarkEnd w:id="52"/>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4.1.1预警分级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根据开州区铁桥镇饮用水水源地实际情况，水源地突发环境事件的预警级别由低到高分为橙色和红色两级。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橙色预警：</w:t>
      </w:r>
      <w:r>
        <w:rPr>
          <w:rFonts w:hint="eastAsia" w:asciiTheme="minorEastAsia" w:hAnsiTheme="minorEastAsia" w:eastAsiaTheme="minorEastAsia" w:cstheme="minorEastAsia"/>
          <w:sz w:val="28"/>
          <w:szCs w:val="28"/>
          <w:lang w:val="en-US" w:eastAsia="zh-CN"/>
        </w:rPr>
        <w:t>当污染物迁移至水源地应急预案适用范围，但水源地保护区或其上游连接水体尚未受到污染，或是污染物已进入水源保护区上游连接水体，应急指挥部办公室研判认为对水源地水质影响可能较小、可能不影响取水时，为橙色预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红色预警：</w:t>
      </w:r>
      <w:r>
        <w:rPr>
          <w:rFonts w:hint="eastAsia" w:asciiTheme="minorEastAsia" w:hAnsiTheme="minorEastAsia" w:eastAsiaTheme="minorEastAsia" w:cstheme="minorEastAsia"/>
          <w:sz w:val="28"/>
          <w:szCs w:val="28"/>
          <w:lang w:val="en-US" w:eastAsia="zh-CN"/>
        </w:rPr>
        <w:t>当污染物已进入（或出现在）水源地保护区或其上游连接水体，且应急专家研判认为对水源地水质影响可能较大时、可能影响取水时，为红色预警。</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4.1.2预警条件</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4.1.2.1橙色预警启动条件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1）接到区生态环境局指令或信息通报后，虽污染物未迁移至水源地应急预案适用范围，但污染物已进入水源保护区上游连接水体，经研判认为对水源地水质可能造成污染，不影响取水；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2）在铁桥镇辖区内，通过信息报告发现，污染物已扩散至距水源保护区上游连接水体的直线距离不足 1km 的陆域或水域；</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3）在铁桥镇辖区内，污染物已进入水源保护区上游连接水体，经研判认为对水源地水质影响可能较小、可能不影响取水。</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4.1.2.2红色预警启动条件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1）接到区生态环境局指令或信息通报后，虽污染物未迁移至水源地应急预案适用的地域范围内，但污染物已进入水源保护区上游连接水体，研判认为对饮用水水源地水质有影响，可能影响取水；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2）通过信息报告发现，在水源地二级保护区内发生突发环境事件；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3）通过信息报告发现，或污染物已扩散至距水源保护区上游连接水体的直线距离不足 100 米的陆域或水域；</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4）通过信息报告发现，或污染物已扩散至距水源保护区上游连接水体的直线距离不足 200 米的陆域或水域，经水质监测和信息研判，判断污染物迁移至取水口位置时，相应指标浓度仍会超标的；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5）通过监测发现，水源保护区或其上游连接水体理化指标异常；</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6）通过监测发现，水源保护区或其上游连接水体感官性状异常，即水体出现异常颜色或气味的；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7）通过监测发现，水源保护区或其上游连接水体水面出现大面积生物死亡的，即水面出现大面积死鱼或生物综合毒性异 常并经实验室监测后确认的。</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4.1.3</w:t>
      </w:r>
      <w:r>
        <w:rPr>
          <w:rFonts w:hint="eastAsia" w:asciiTheme="minorEastAsia" w:hAnsiTheme="minorEastAsia" w:eastAsiaTheme="minorEastAsia" w:cstheme="minorEastAsia"/>
          <w:b/>
          <w:bCs/>
          <w:sz w:val="28"/>
          <w:szCs w:val="28"/>
        </w:rPr>
        <w:t>发布预警和预警级别调整</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4.1.3.1</w:t>
      </w:r>
      <w:r>
        <w:rPr>
          <w:rFonts w:hint="eastAsia" w:asciiTheme="minorEastAsia" w:hAnsiTheme="minorEastAsia" w:eastAsiaTheme="minorEastAsia" w:cstheme="minorEastAsia"/>
          <w:b/>
          <w:bCs/>
          <w:sz w:val="28"/>
          <w:szCs w:val="28"/>
        </w:rPr>
        <w:t>预警发布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橙色预警</w:t>
      </w:r>
      <w:r>
        <w:rPr>
          <w:rFonts w:hint="eastAsia" w:asciiTheme="minorEastAsia" w:hAnsiTheme="minorEastAsia" w:eastAsiaTheme="minorEastAsia" w:cstheme="minorEastAsia"/>
          <w:sz w:val="28"/>
          <w:szCs w:val="28"/>
          <w:lang w:val="en-US" w:eastAsia="zh-CN"/>
        </w:rPr>
        <w:t>和</w:t>
      </w:r>
      <w:r>
        <w:rPr>
          <w:rFonts w:hint="eastAsia" w:asciiTheme="minorEastAsia" w:hAnsiTheme="minorEastAsia" w:eastAsiaTheme="minorEastAsia" w:cstheme="minorEastAsia"/>
          <w:b/>
          <w:bCs/>
          <w:sz w:val="28"/>
          <w:szCs w:val="28"/>
          <w:lang w:val="en-US" w:eastAsia="zh-CN"/>
        </w:rPr>
        <w:t>红色预警</w:t>
      </w:r>
      <w:r>
        <w:rPr>
          <w:rFonts w:hint="eastAsia" w:asciiTheme="minorEastAsia" w:hAnsiTheme="minorEastAsia" w:eastAsiaTheme="minorEastAsia" w:cstheme="minorEastAsia"/>
          <w:sz w:val="28"/>
          <w:szCs w:val="28"/>
          <w:lang w:val="en-US" w:eastAsia="zh-CN"/>
        </w:rPr>
        <w:t>由镇政府及其指定部门发布或上级人民政府及其指定部门发布。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预警发布内容应包括，但不限于以下内容：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1）类别、预警级别</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2）事件起止时间、可能影响的范围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3）应采取的措施和发布机关</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4）警示事项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根据不同的突发水环境事件类型，应急指挥部办公室对现场应急指挥部的成员单位，发布预警信息。</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4.1.3.2</w:t>
      </w:r>
      <w:r>
        <w:rPr>
          <w:rFonts w:hint="eastAsia" w:asciiTheme="minorEastAsia" w:hAnsiTheme="minorEastAsia" w:eastAsiaTheme="minorEastAsia" w:cstheme="minorEastAsia"/>
          <w:b/>
          <w:bCs/>
          <w:sz w:val="28"/>
          <w:szCs w:val="28"/>
        </w:rPr>
        <w:t>预警级别调整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应急指挥部办公室根据事态的发展和采取措施的效果，进一步研判，如需调整级别，应按照有关规定，上报镇政府，由镇政府调整预级别并再次发布预警信息。同时向上级人民政府或指定部门报告，必要时可越级上报。</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4.1.4</w:t>
      </w:r>
      <w:r>
        <w:rPr>
          <w:rFonts w:hint="eastAsia" w:asciiTheme="minorEastAsia" w:hAnsiTheme="minorEastAsia" w:eastAsiaTheme="minorEastAsia" w:cstheme="minorEastAsia"/>
          <w:b/>
          <w:bCs/>
          <w:sz w:val="28"/>
          <w:szCs w:val="28"/>
        </w:rPr>
        <w:t>预警行动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发布橙色预警时，现场应急指挥部总指挥组织开展预警行动，预警行动包含但不限于以下内容：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1）通知相关部门或水厂，告知突发环境事件信息，接收通知的单位应启动本单位相关应急预案。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2）指令应急监测组联系监测机构立即开展监测、检测、随时掌握并报告事态的发展进度；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3）应急准备。按照职责，相应成员单位进入待命状态，必要时到达现场开展相关工作。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4）舆论引导。及时准确发布事态最新情况，公布咨询电话，组织专家解读。加强相关舆情监测，做好舆论引导工作。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发布红色预警时，应急指挥部总指挥组织开展应急响应工作，预警行动包含但不限于以下内容：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1）下达启动饮用水水源地应急预案的命令；</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2）通知现场应急指挥部中的有关单位和人员做好应急准备，进入待命状态，必要时到达现场开展相关工作；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3）通知饮用水水源地供水单位进入待命状态，做好停止取水、深度处理、低压供水或启动备用水源等准备；</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4）加强信息监控，核实突发环境事件污染来源、进入水体的污染物种类和总量、污染扩散范围等信息；</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5）指令应急监测组联系监测机构立即开展监测、检测、随时掌握并报告事态的发展进度；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6）做好事件信息上报和通报；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7）调集所需应急物资和设备，做好应急保障；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8）在危险区域设置提示或警告标志；</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9）必要时，及时通过媒体向公众发布信息；</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10）加强舆情监测、引导和应对工作。</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4.1.5</w:t>
      </w:r>
      <w:r>
        <w:rPr>
          <w:rFonts w:hint="eastAsia" w:asciiTheme="minorEastAsia" w:hAnsiTheme="minorEastAsia" w:eastAsiaTheme="minorEastAsia" w:cstheme="minorEastAsia"/>
          <w:b/>
          <w:bCs/>
          <w:sz w:val="28"/>
          <w:szCs w:val="28"/>
        </w:rPr>
        <w:t>预警解除</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当引起预警的条件消除和各类隐患排除后，辖区内饮用水水源地水质及供水不会受到影响时，由发布预警的单位下达预警解除指令，终止已经采取的有关行动和措施。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53" w:name="_Toc7047"/>
      <w:r>
        <w:rPr>
          <w:rFonts w:hint="eastAsia" w:asciiTheme="minorEastAsia" w:hAnsiTheme="minorEastAsia" w:eastAsiaTheme="minorEastAsia" w:cstheme="minorEastAsia"/>
          <w:b/>
          <w:bCs/>
          <w:sz w:val="28"/>
          <w:szCs w:val="28"/>
          <w:lang w:val="en-US" w:eastAsia="zh-CN"/>
        </w:rPr>
        <w:t>4.2</w:t>
      </w:r>
      <w:r>
        <w:rPr>
          <w:rFonts w:hint="eastAsia" w:asciiTheme="minorEastAsia" w:hAnsiTheme="minorEastAsia" w:eastAsiaTheme="minorEastAsia" w:cstheme="minorEastAsia"/>
          <w:b/>
          <w:bCs/>
          <w:sz w:val="28"/>
          <w:szCs w:val="28"/>
          <w:lang w:val="zh-CN"/>
        </w:rPr>
        <w:t>信息报告与通报</w:t>
      </w:r>
      <w:bookmarkEnd w:id="53"/>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4.2.1</w:t>
      </w:r>
      <w:r>
        <w:rPr>
          <w:rFonts w:hint="eastAsia" w:asciiTheme="minorEastAsia" w:hAnsiTheme="minorEastAsia" w:eastAsiaTheme="minorEastAsia" w:cstheme="minorEastAsia"/>
          <w:b/>
          <w:bCs/>
          <w:sz w:val="28"/>
          <w:szCs w:val="28"/>
        </w:rPr>
        <w:t>信息报告与通报原则及对象</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内部报告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一旦发生饮用水水源地突发环境事件，现场工作人员或事件最早发现者应立即采取相应的处置措施，并拨打镇政府应急值班电话，向应急值班人员报告事件情况，应急值班人员立即报告应急办公室，应急办公室上报应急领导小组组长。</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铁桥镇应急值班电话：023-52700100</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外部报告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应急领导小组组长经分析饮用水水源地突发环境事件的严重程度，应通知水厂停止取水并监测水厂现存饮用水水质及现存水数量。并向区生态环境局、区政府报告。如水厂监测现存饮用水水质已受到污染，应向区城市管理局报告，寻求帮助协助断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开州区人民政府：023-52116111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开州区生态环境局：023-52255600</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开州区城市管理局：023-52688003</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开州区铁桥水厂：023-52700102</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万塘水库：15923875737</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4.2.2</w:t>
      </w:r>
      <w:r>
        <w:rPr>
          <w:rFonts w:hint="eastAsia" w:asciiTheme="minorEastAsia" w:hAnsiTheme="minorEastAsia" w:eastAsiaTheme="minorEastAsia" w:cstheme="minorEastAsia"/>
          <w:b/>
          <w:bCs/>
          <w:sz w:val="28"/>
          <w:szCs w:val="28"/>
        </w:rPr>
        <w:t>信息报告与通报内容程序及内容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1）初报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（1）初报程序</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对水源地保护区造成或者可能造成影响的，按突发环境事件的报告程序进行上报，现场应急指挥部应在到达现场后1小时内向区政府报告。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（2）初报内容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初报应报告水源地突发环境事件的发生时间、地点、信息来源、事件起因和性质、基本过程、污染物和数量、监测结果、人员伤亡情况、水源地受影响情况、事件发展趋势、处置情况、拟采取的措施以及下一步工作建议等初步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2）续报程序与内容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（1）续报程序</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现场应急指挥部对初报时要素不齐全或事件衍生出新情况， 处置工作有新进展的，要及时续报，根据情况每天不少于 1 次向区生态环境局、区政府书面报告。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（2）续报内容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续报应当在初报的基础上报告突发环境事件有关的监测数据、发生原因、过程、进展情况、趋势分析、危害程度以及采取的措施、效果等情况，附应急监测快报和监测点位分布图等。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3）处理结果报告程序与内容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（1）处理结果报告程序</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突发环境事件处理完毕后15天内，应急指挥部办公室应编制突发水环境事件处理结果报告。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（2）处理结果报告内容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处理结果报告应在初报、续报的基础上，报告突发环境事件的处置措施、过程和结果等详细情况。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54" w:name="_Toc23011"/>
      <w:r>
        <w:rPr>
          <w:rFonts w:hint="eastAsia" w:asciiTheme="minorEastAsia" w:hAnsiTheme="minorEastAsia" w:eastAsiaTheme="minorEastAsia" w:cstheme="minorEastAsia"/>
          <w:b/>
          <w:bCs/>
          <w:sz w:val="28"/>
          <w:szCs w:val="28"/>
          <w:lang w:val="en-US" w:eastAsia="zh-CN"/>
        </w:rPr>
        <w:t>4.3</w:t>
      </w:r>
      <w:r>
        <w:rPr>
          <w:rFonts w:hint="eastAsia" w:asciiTheme="minorEastAsia" w:hAnsiTheme="minorEastAsia" w:eastAsiaTheme="minorEastAsia" w:cstheme="minorEastAsia"/>
          <w:b/>
          <w:bCs/>
          <w:sz w:val="28"/>
          <w:szCs w:val="28"/>
          <w:lang w:val="zh-CN"/>
        </w:rPr>
        <w:t>事态跟踪研判</w:t>
      </w:r>
      <w:bookmarkEnd w:id="54"/>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由现场应急指挥部组织开展事态跟踪研判。</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事态跟踪研判包括但不限于以下内容：事故点下游沿河水利设施工程情况、判断污染物进入河流的数量及种类性质、事故点下游水系分布（包括清洁水情况）、距离水源地取水口的距离和可能对水源地造成的危害，以及备用水源地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根据事态跟踪研判的结果，制定和动态调整应急响应有关方案、实施应急监测、污染源排查与处置和应急处置方法。</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55" w:name="_Toc22183"/>
      <w:r>
        <w:rPr>
          <w:rFonts w:hint="eastAsia" w:asciiTheme="minorEastAsia" w:hAnsiTheme="minorEastAsia" w:eastAsiaTheme="minorEastAsia" w:cstheme="minorEastAsia"/>
          <w:b/>
          <w:bCs/>
          <w:sz w:val="28"/>
          <w:szCs w:val="28"/>
          <w:lang w:val="en-US" w:eastAsia="zh-CN"/>
        </w:rPr>
        <w:t>4.4</w:t>
      </w:r>
      <w:r>
        <w:rPr>
          <w:rFonts w:hint="eastAsia" w:asciiTheme="minorEastAsia" w:hAnsiTheme="minorEastAsia" w:eastAsiaTheme="minorEastAsia" w:cstheme="minorEastAsia"/>
          <w:b/>
          <w:bCs/>
          <w:sz w:val="28"/>
          <w:szCs w:val="28"/>
          <w:lang w:val="zh-CN"/>
        </w:rPr>
        <w:t>应急监测</w:t>
      </w:r>
      <w:bookmarkEnd w:id="55"/>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4.4.1</w:t>
      </w:r>
      <w:r>
        <w:rPr>
          <w:rFonts w:hint="eastAsia" w:asciiTheme="minorEastAsia" w:hAnsiTheme="minorEastAsia" w:eastAsiaTheme="minorEastAsia" w:cstheme="minorEastAsia"/>
          <w:b/>
          <w:bCs/>
          <w:sz w:val="28"/>
          <w:szCs w:val="28"/>
        </w:rPr>
        <w:t>开展应急监测程序</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事件处置初期，应急检测机构应根据现场实际情况制定监测方案、设置监测点位（断面）、确定监测频次、组织开展监测、形成监测报告，第一时间向现场应急指挥部报告监测结果和污染浓度变化态势图，并安排人员对突发环境事件监测情况进行全过程记录。</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事件处置中期，应根据事态发展，如上游来水量、应急处置 措施效果等情况，适时调整监测点位（断面）和监测频次。</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事件处置末期，应按照现场应急指挥部命令，开展跟踪监测，并向现场应急指挥部提交应急监测总结报告。</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4.4.2</w:t>
      </w:r>
      <w:r>
        <w:rPr>
          <w:rFonts w:hint="eastAsia" w:asciiTheme="minorEastAsia" w:hAnsiTheme="minorEastAsia" w:eastAsiaTheme="minorEastAsia" w:cstheme="minorEastAsia"/>
          <w:b/>
          <w:bCs/>
          <w:sz w:val="28"/>
          <w:szCs w:val="28"/>
        </w:rPr>
        <w:t>制定应急监测方案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应急监测组根据突发事件性质，征询应急专家组意见，编制应急监测方案。内容应包括：依据的技术规范、实施人员、布点 原则、采样频次和注意事项、监测结果记录和报告方式等。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应急监测重点是抓住污染带前峰、峰值位置和浓度变化，对污染带移动过程形成动态监控。当污染来源不明时，应先通过应急监测确定特征污染物成份，再进行污染源排查和先期处置。监测范围、布点、频次及监测因子按如下原则进行布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1）监测范围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应该涵盖水源地突发环境事件的污染范围，并包括事件可能影响区域和污染物本底浓度的监测区域。</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2）监测布点和频次</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以突发环境事件发生地点为中心或源头，结合水文和气象条件，在其扩散方向及可能受到影响的水源地位置合理布点，必要时在事故影响区域内水源取水口、农灌区取水口处设置监测点位（断面）。应采取不同点位（断面）相同间隔时间（一般为 1 小时）同步采样监测方式，动态监控污染带移动过程。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（1）针对固定源突发环境事件，应对固定源排放口附近水域、下游水源地附近水域进行加密跟踪监测。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（2）针对流动源、非点源突发环境事件，应对事发区域下游水域、下游水源地附近进行加密跟踪监测。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（3）水华灾害突发事件若发生在二级保护区范围，应对取水口不同水层进行加密跟踪监测。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3）现场采样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应制定采样计划和准备采样器材。采样量应同时满足快速监测、实验室监测和留样的需要。采样频次应考虑污染程度和现场 水文条件，按照应急专家组的意见确定。</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4）监测项目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监测因子建议包括：pH 值、化学需氧量、氨氮、总磷、总氮等。可根据突发环境事件特征，删减或补充相关监测因子。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56" w:name="_Toc14401"/>
      <w:r>
        <w:rPr>
          <w:rFonts w:hint="eastAsia" w:asciiTheme="minorEastAsia" w:hAnsiTheme="minorEastAsia" w:eastAsiaTheme="minorEastAsia" w:cstheme="minorEastAsia"/>
          <w:b/>
          <w:bCs/>
          <w:sz w:val="28"/>
          <w:szCs w:val="28"/>
          <w:lang w:val="en-US" w:eastAsia="zh-CN"/>
        </w:rPr>
        <w:t>4.5污染</w:t>
      </w:r>
      <w:r>
        <w:rPr>
          <w:rFonts w:hint="eastAsia" w:asciiTheme="minorEastAsia" w:hAnsiTheme="minorEastAsia" w:eastAsiaTheme="minorEastAsia" w:cstheme="minorEastAsia"/>
          <w:b/>
          <w:bCs/>
          <w:sz w:val="28"/>
          <w:szCs w:val="28"/>
          <w:lang w:val="zh-CN"/>
        </w:rPr>
        <w:t>源排查与处置</w:t>
      </w:r>
      <w:bookmarkEnd w:id="56"/>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4.5.1</w:t>
      </w:r>
      <w:r>
        <w:rPr>
          <w:rFonts w:hint="eastAsia" w:asciiTheme="minorEastAsia" w:hAnsiTheme="minorEastAsia" w:eastAsiaTheme="minorEastAsia" w:cstheme="minorEastAsia"/>
          <w:b/>
          <w:bCs/>
          <w:sz w:val="28"/>
          <w:szCs w:val="28"/>
        </w:rPr>
        <w:t>排查对象</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当水质监测发现异常、污染物来源不确定时，可由应急监测组负责开展溯源分析。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应急监测组根据应急监测确定特征污染物成份，再结合特征污染物浓度变化、释放总量、释放路径、释放时间，以及当时的水文和气象条件，迅速组织开展事故源排查。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针对不同类型污染物的排查重点和对象如下。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有机类、营养盐类污染：重点排查城镇生活污水处理厂等的异常情况。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营养盐类污染：重点排查城镇生活污水处理厂、畜禽养殖场（户）、农田种植户、农村居民点等，调查污水处理设施运行、养殖废物处理处置、农药化肥施用、农村生活污染的异常情况</w:t>
      </w:r>
      <w:r>
        <w:rPr>
          <w:rFonts w:hint="eastAsia" w:cs="宋体"/>
          <w:color w:val="auto"/>
          <w:sz w:val="28"/>
          <w:szCs w:val="28"/>
          <w:lang w:val="en-US"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细菌类污染：重点排查调查污水处理设施运行的异常情况。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农药类污染：重点排查农田种植户、农灌退水排放口，调查农药施用和</w:t>
      </w:r>
      <w:r>
        <w:rPr>
          <w:rFonts w:hint="eastAsia" w:cs="宋体"/>
          <w:color w:val="auto"/>
          <w:sz w:val="28"/>
          <w:szCs w:val="28"/>
          <w:lang w:val="en-US" w:eastAsia="zh-CN"/>
        </w:rPr>
        <w:t>水土</w:t>
      </w:r>
      <w:r>
        <w:rPr>
          <w:rFonts w:hint="eastAsia" w:ascii="宋体" w:hAnsi="宋体" w:eastAsia="宋体" w:cs="宋体"/>
          <w:color w:val="auto"/>
          <w:sz w:val="28"/>
          <w:szCs w:val="28"/>
          <w:lang w:val="en-US" w:eastAsia="zh-CN"/>
        </w:rPr>
        <w:t>流失的异常情况。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石油类污染：重点排查加油站、运输车辆</w:t>
      </w:r>
      <w:r>
        <w:rPr>
          <w:rFonts w:hint="eastAsia" w:cs="宋体"/>
          <w:color w:val="auto"/>
          <w:sz w:val="28"/>
          <w:szCs w:val="28"/>
          <w:lang w:val="en-US"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6</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油气管线，调查</w:t>
      </w:r>
      <w:r>
        <w:rPr>
          <w:rFonts w:hint="eastAsia" w:cs="宋体"/>
          <w:color w:val="auto"/>
          <w:sz w:val="28"/>
          <w:szCs w:val="28"/>
          <w:lang w:val="en-US" w:eastAsia="zh-CN"/>
        </w:rPr>
        <w:t>油气管线</w:t>
      </w:r>
      <w:r>
        <w:rPr>
          <w:rFonts w:hint="eastAsia" w:ascii="宋体" w:hAnsi="宋体" w:eastAsia="宋体" w:cs="宋体"/>
          <w:color w:val="auto"/>
          <w:sz w:val="28"/>
          <w:szCs w:val="28"/>
          <w:lang w:val="en-US" w:eastAsia="zh-CN"/>
        </w:rPr>
        <w:t>的异常情况。</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4.5.2</w:t>
      </w:r>
      <w:r>
        <w:rPr>
          <w:rFonts w:hint="eastAsia" w:asciiTheme="minorEastAsia" w:hAnsiTheme="minorEastAsia" w:eastAsiaTheme="minorEastAsia" w:cstheme="minorEastAsia"/>
          <w:b/>
          <w:bCs/>
          <w:sz w:val="28"/>
          <w:szCs w:val="28"/>
        </w:rPr>
        <w:t>切断污染源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涉事企事业单位或其他生产经营者应第一时间启动相关应急预案，切断固定的、流动的或非点源的污染源或泄漏源，若涉 事企事业单位或其他生产经营者无法有效控制污染源，应将污染源信息上报应急处置组，由应急处置组组织实施事故源切断或控制。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处置措施采取切断污染源、收集和围堵污染物等，包括但不限于以下内容。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w:t>
      </w:r>
      <w:r>
        <w:rPr>
          <w:rFonts w:hint="eastAsia" w:cs="宋体"/>
          <w:sz w:val="28"/>
          <w:szCs w:val="28"/>
          <w:lang w:val="en-US" w:eastAsia="zh-CN"/>
        </w:rPr>
        <w:t>)</w:t>
      </w:r>
      <w:r>
        <w:rPr>
          <w:rFonts w:hint="eastAsia" w:ascii="宋体" w:hAnsi="宋体" w:eastAsia="宋体" w:cs="宋体"/>
          <w:sz w:val="28"/>
          <w:szCs w:val="28"/>
          <w:lang w:val="en-US" w:eastAsia="zh-CN"/>
        </w:rPr>
        <w:t>对发生非正常排放或有毒有害物质泄漏的固定源突发环境事件，应尽快采取关闭、封堵、收集、转移等措施，切断污染源或泄漏源。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r>
        <w:rPr>
          <w:rFonts w:hint="eastAsia" w:cs="宋体"/>
          <w:sz w:val="28"/>
          <w:szCs w:val="28"/>
          <w:lang w:val="en-US" w:eastAsia="zh-CN"/>
        </w:rPr>
        <w:t>)</w:t>
      </w:r>
      <w:r>
        <w:rPr>
          <w:rFonts w:hint="eastAsia" w:ascii="宋体" w:hAnsi="宋体" w:eastAsia="宋体" w:cs="宋体"/>
          <w:sz w:val="28"/>
          <w:szCs w:val="28"/>
          <w:lang w:val="en-US" w:eastAsia="zh-CN"/>
        </w:rPr>
        <w:t>对道路交通运输过程中发生的流动源突发事件，可启动路面系统的导流槽、应急池或紧急设置围堰、闸坝等，对污染源进行围堵并收集污染物。</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cs="宋体"/>
          <w:sz w:val="28"/>
          <w:szCs w:val="28"/>
          <w:lang w:val="en-US" w:eastAsia="zh-CN"/>
        </w:rPr>
        <w:t>3)</w:t>
      </w:r>
      <w:r>
        <w:rPr>
          <w:rFonts w:hint="eastAsia" w:ascii="宋体" w:hAnsi="宋体" w:eastAsia="宋体" w:cs="宋体"/>
          <w:sz w:val="28"/>
          <w:szCs w:val="28"/>
          <w:lang w:val="en-US" w:eastAsia="zh-CN"/>
        </w:rPr>
        <w:t>启动应急收集系统集中收集陆域污染物，设立拦截设施，防止污染物在陆域漫延，组织有关部门对污染物进行回收处置。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sz w:val="28"/>
          <w:szCs w:val="28"/>
          <w:lang w:val="en-US" w:eastAsia="zh-CN"/>
        </w:rPr>
      </w:pPr>
      <w:r>
        <w:rPr>
          <w:rFonts w:hint="eastAsia" w:cs="宋体"/>
          <w:sz w:val="28"/>
          <w:szCs w:val="28"/>
          <w:lang w:val="en-US" w:eastAsia="zh-CN"/>
        </w:rPr>
        <w:t>4)</w:t>
      </w:r>
      <w:r>
        <w:rPr>
          <w:rFonts w:hint="eastAsia" w:ascii="宋体" w:hAnsi="宋体" w:eastAsia="宋体" w:cs="宋体"/>
          <w:sz w:val="28"/>
          <w:szCs w:val="28"/>
          <w:lang w:val="en-US" w:eastAsia="zh-CN"/>
        </w:rPr>
        <w:t>根据现场事态发展对扩散至水体的污染物进行处置。</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4.5.3水源突发环境污染事件应急处置措施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w:t>
      </w:r>
      <w:r>
        <w:rPr>
          <w:rFonts w:hint="default" w:asciiTheme="minorEastAsia" w:hAnsiTheme="minorEastAsia" w:eastAsiaTheme="minorEastAsia" w:cstheme="minorEastAsia"/>
          <w:sz w:val="28"/>
          <w:szCs w:val="28"/>
          <w:lang w:val="en-US" w:eastAsia="zh-CN"/>
        </w:rPr>
        <w:t>确认污染物危害及毒性:通过初步判断与监测分析,确认污染物及其危害与毒性,切断污染源,并对同类污染源进行限排、禁排。</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w:t>
      </w:r>
      <w:r>
        <w:rPr>
          <w:rFonts w:hint="default" w:asciiTheme="minorEastAsia" w:hAnsiTheme="minorEastAsia" w:eastAsiaTheme="minorEastAsia" w:cstheme="minorEastAsia"/>
          <w:sz w:val="28"/>
          <w:szCs w:val="28"/>
          <w:lang w:val="en-US" w:eastAsia="zh-CN"/>
        </w:rPr>
        <w:t>确定饮用水源取水口基本情况:确认下游供水设施服务区及服务人口、涉及规模及日供水量、设施管理部门联系方式;取水口名称、地点及距离、地理位置(经纬度)等。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w:t>
      </w:r>
      <w:r>
        <w:rPr>
          <w:rFonts w:hint="default" w:asciiTheme="minorEastAsia" w:hAnsiTheme="minorEastAsia" w:eastAsiaTheme="minorEastAsia" w:cstheme="minorEastAsia"/>
          <w:sz w:val="28"/>
          <w:szCs w:val="28"/>
          <w:lang w:val="en-US" w:eastAsia="zh-CN"/>
        </w:rPr>
        <w:t>确定地下水取水情况:确认地下水服务范围内灌溉面积、基本农田保护区情况。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w:t>
      </w:r>
      <w:r>
        <w:rPr>
          <w:rFonts w:hint="default" w:asciiTheme="minorEastAsia" w:hAnsiTheme="minorEastAsia" w:eastAsiaTheme="minorEastAsia" w:cstheme="minorEastAsia"/>
          <w:sz w:val="28"/>
          <w:szCs w:val="28"/>
          <w:lang w:val="en-US" w:eastAsia="zh-CN"/>
        </w:rPr>
        <w:t>通知:立即通知下游可能受到突发水污染事件影响的对象, 特别是可能受到影响的取水口,以便及时采取防备措施。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w:t>
      </w:r>
      <w:r>
        <w:rPr>
          <w:rFonts w:hint="default" w:asciiTheme="minorEastAsia" w:hAnsiTheme="minorEastAsia" w:eastAsiaTheme="minorEastAsia" w:cstheme="minorEastAsia"/>
          <w:sz w:val="28"/>
          <w:szCs w:val="28"/>
          <w:lang w:val="en-US" w:eastAsia="zh-CN"/>
        </w:rPr>
        <w:t>监测与扩散规律分析:根据各断面污染物监测浓度值、水流速度、各段水体库容量、流域河道地形,上游输入、支流汇入水量,污染物降解速率等,计算水体中污染的总量及各断而通量,建立水质动态预报模型,预测预报出污染带前锋的到达事件、污染峰值及出现事件、可能超标天数等污染态势,以便采取各种应急措施。对污染物的分段阻隔,削减,逐渐稀释,同时,启动自来水厂应急工程或备用水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57" w:name="_Toc19828"/>
      <w:r>
        <w:rPr>
          <w:rFonts w:hint="eastAsia" w:asciiTheme="minorEastAsia" w:hAnsiTheme="minorEastAsia" w:eastAsiaTheme="minorEastAsia" w:cstheme="minorEastAsia"/>
          <w:b/>
          <w:bCs/>
          <w:sz w:val="28"/>
          <w:szCs w:val="28"/>
          <w:lang w:val="en-US" w:eastAsia="zh-CN"/>
        </w:rPr>
        <w:t>4.6</w:t>
      </w:r>
      <w:r>
        <w:rPr>
          <w:rFonts w:hint="eastAsia" w:asciiTheme="minorEastAsia" w:hAnsiTheme="minorEastAsia" w:eastAsiaTheme="minorEastAsia" w:cstheme="minorEastAsia"/>
          <w:b/>
          <w:bCs/>
          <w:sz w:val="28"/>
          <w:szCs w:val="28"/>
          <w:lang w:val="zh-CN"/>
        </w:rPr>
        <w:t>应急处置</w:t>
      </w:r>
      <w:bookmarkEnd w:id="57"/>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4.6.1</w:t>
      </w:r>
      <w:r>
        <w:rPr>
          <w:rFonts w:hint="eastAsia" w:asciiTheme="minorEastAsia" w:hAnsiTheme="minorEastAsia" w:eastAsiaTheme="minorEastAsia" w:cstheme="minorEastAsia"/>
          <w:b/>
          <w:bCs/>
          <w:sz w:val="28"/>
          <w:szCs w:val="28"/>
        </w:rPr>
        <w:t>制定现场处置方案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现场处置方案包括但不限于以下内容：应急监测、污染处置措施、物资调集、应急队伍和人员安排、供水单位应对措施等。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根据污染特征，水源地突发环境事件的污染处置措施如下：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1)水华灾害突发事件。对二级水源保护区的水华发生区域，采取增氧机、藻类打捞等方式减少和控制藻类生长和 扩散；有条件的，可采用生态调水的方式，通过增加水体扰动控制水华灾害。</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水体内污染物治理、总量或浓度削减。根据专家技术组等意见，制定综合处置方案，经现场应急指挥部确认后实施。一般采取隔离、吸附、打捞、扰动等物理方法，氧化、沉淀等化学方法，利用湿地生物群消解等生物方法和上游调水等稀释方法， 可以采取一种或多种方式，力争短时间内削减污染物浓度。现场应急指挥部可根据需要，对水源地汇水区域内的污染物排放企业实施停产、减产、限产等措施，削减水域污染物总量或浓度。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3)应急工程设施拦截污染水体。在河道内启用或修建拦截坝、节制闸等工程设施拦截污染水体；通过导流渠将未受污染 水体导流至污染水体下游，通过分流沟将污染水体分流至水源保 护区外进行收集处置；利用前置库、缓冲池等工程设施，降低污 染水体的污染物浓度，为应急处置争取时间。不能建设永久应急 工程的，应事先论证确定可建设应急工程的地址，并在预案中明确。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4)针对污染物可采取的物理、化学、生物处理技术如表 4-2 所示。</w:t>
      </w:r>
    </w:p>
    <w:tbl>
      <w:tblPr>
        <w:tblStyle w:val="14"/>
        <w:tblW w:w="0" w:type="auto"/>
        <w:tblInd w:w="183"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093"/>
        <w:gridCol w:w="67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2093" w:type="dxa"/>
            <w:tcBorders>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超标项目</w:t>
            </w:r>
          </w:p>
        </w:tc>
        <w:tc>
          <w:tcPr>
            <w:tcW w:w="6709" w:type="dxa"/>
            <w:tcBorders>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推</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荐 技</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浊度</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快速砂滤池、絮凝、沉淀、过滤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5"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色度</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快速砂滤池、絮凝；活性炭吸附；化学氧化预处理：臭氧、氯、高锰酸钾、二氧化氯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5"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嗅味</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化学氧化预处理：臭氧、氯、高锰酸钾、二氧化氯、活性炭</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5"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氟化物</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吸附法：氧化铝、磷酸二钙；混凝沉淀法：硫酸铝、聚合氯化铝；离子交换法；电渗析法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氨氮</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化学氧化预处理：氯、高锰酸钾；深度处理：臭氧-生物活性碳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6"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铁、锰</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锰砂；化学氧化预处理：氯、高锰酸钾；深度处理：臭氧-生物活性碳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挥发性有机物</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生物活性炭吸附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62"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三氯甲烷和腐殖酸</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前驱物的去除：强化混凝、粒状活性炭、生物活性炭；氯化副产物的去除： 粒状活性炭</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有机化合物</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生物活性碳、膜处理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细菌和病毒</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过滤（部分去除）；消毒处理：氯、二氧化氯、臭氧、膜处理、紫外消毒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43"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汞、铬等部分重金属</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（应急状态）</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氧化法：高锰酸钾；生物活性碳吸附（部分去除）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71" w:hRule="atLeast"/>
        </w:trPr>
        <w:tc>
          <w:tcPr>
            <w:tcW w:w="2093" w:type="dxa"/>
            <w:tcBorders>
              <w:top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藻类及藻毒素</w:t>
            </w:r>
          </w:p>
        </w:tc>
        <w:tc>
          <w:tcPr>
            <w:tcW w:w="6709" w:type="dxa"/>
            <w:tcBorders>
              <w:top w:val="single" w:color="000000" w:sz="4" w:space="0"/>
              <w:lef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化学氧化预处理：除藻剂法、高锰酸钾、氯；微滤法；气浮法；臭氧氧化法</w:t>
            </w:r>
          </w:p>
        </w:tc>
      </w:tr>
    </w:tbl>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63360" behindDoc="0" locked="0" layoutInCell="1" allowOverlap="1">
                <wp:simplePos x="0" y="0"/>
                <wp:positionH relativeFrom="column">
                  <wp:posOffset>899795</wp:posOffset>
                </wp:positionH>
                <wp:positionV relativeFrom="paragraph">
                  <wp:posOffset>50165</wp:posOffset>
                </wp:positionV>
                <wp:extent cx="4320540" cy="398780"/>
                <wp:effectExtent l="0" t="0" r="3810" b="1270"/>
                <wp:wrapNone/>
                <wp:docPr id="8" name="矩形 8"/>
                <wp:cNvGraphicFramePr/>
                <a:graphic xmlns:a="http://schemas.openxmlformats.org/drawingml/2006/main">
                  <a:graphicData uri="http://schemas.microsoft.com/office/word/2010/wordprocessingShape">
                    <wps:wsp>
                      <wps:cNvSpPr/>
                      <wps:spPr>
                        <a:xfrm>
                          <a:off x="1905635" y="5816600"/>
                          <a:ext cx="4320540" cy="398780"/>
                        </a:xfrm>
                        <a:prstGeom prst="rect">
                          <a:avLst/>
                        </a:prstGeom>
                        <a:solidFill>
                          <a:srgbClr val="FFFFFF"/>
                        </a:solidFill>
                        <a:ln w="12700" cap="flat" cmpd="sng" algn="ctr">
                          <a:noFill/>
                          <a:prstDash val="solid"/>
                          <a:miter lim="800000"/>
                        </a:ln>
                        <a:effectLst/>
                      </wps:spPr>
                      <wps:txbx>
                        <w:txbxContent>
                          <w:p>
                            <w:pPr>
                              <w:rPr>
                                <w:rFonts w:hint="eastAsia" w:ascii="宋体" w:hAnsi="宋体" w:eastAsia="宋体" w:cs="宋体"/>
                                <w:b/>
                                <w:bCs w:val="0"/>
                                <w:sz w:val="28"/>
                                <w:szCs w:val="28"/>
                              </w:rPr>
                            </w:pPr>
                            <w:r>
                              <w:rPr>
                                <w:rFonts w:hint="eastAsia" w:ascii="宋体" w:hAnsi="宋体" w:eastAsia="宋体" w:cs="宋体"/>
                                <w:b/>
                                <w:bCs w:val="0"/>
                                <w:sz w:val="28"/>
                                <w:szCs w:val="28"/>
                              </w:rPr>
                              <w:t xml:space="preserve">表 </w:t>
                            </w:r>
                            <w:r>
                              <w:rPr>
                                <w:rFonts w:hint="eastAsia" w:ascii="宋体" w:hAnsi="宋体" w:cs="宋体"/>
                                <w:b/>
                                <w:bCs w:val="0"/>
                                <w:sz w:val="28"/>
                                <w:szCs w:val="28"/>
                                <w:lang w:val="en-US" w:eastAsia="zh-CN"/>
                              </w:rPr>
                              <w:t>4</w:t>
                            </w:r>
                            <w:r>
                              <w:rPr>
                                <w:rFonts w:hint="eastAsia" w:ascii="宋体" w:hAnsi="宋体" w:eastAsia="宋体" w:cs="宋体"/>
                                <w:b/>
                                <w:bCs w:val="0"/>
                                <w:sz w:val="28"/>
                                <w:szCs w:val="28"/>
                              </w:rPr>
                              <w:t>-2  适用于处理不同超标项目的推荐技术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0.85pt;margin-top:3.95pt;height:31.4pt;width:340.2pt;z-index:251663360;v-text-anchor:middle;mso-width-relative:page;mso-height-relative:page;" fillcolor="#FFFFFF" filled="t" stroked="f" coordsize="21600,21600" o:gfxdata="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B3SjsvXAAAACAEAAA8AAAAAAAAA&#10;AQAgAAAAIgAAAGRycy9kb3ducmV2LnhtbFBLAQIUABQAAAAIAIdO4kBu1zrQhAIAAPAEAAAOAAAA&#10;AAAAAAEAIAAAACYBAABkcnMvZTJvRG9jLnhtbFBLBQYAAAAABgAGAFkBAAAcBgAAAAA=&#10;">
                <v:fill on="t" focussize="0,0"/>
                <v:stroke on="f" weight="1pt" miterlimit="8" joinstyle="miter"/>
                <v:imagedata o:title=""/>
                <o:lock v:ext="edit" aspectratio="f"/>
                <v:textbox>
                  <w:txbxContent>
                    <w:p>
                      <w:pPr>
                        <w:rPr>
                          <w:rFonts w:hint="eastAsia" w:ascii="宋体" w:hAnsi="宋体" w:eastAsia="宋体" w:cs="宋体"/>
                          <w:b/>
                          <w:bCs w:val="0"/>
                          <w:sz w:val="28"/>
                          <w:szCs w:val="28"/>
                        </w:rPr>
                      </w:pPr>
                      <w:r>
                        <w:rPr>
                          <w:rFonts w:hint="eastAsia" w:ascii="宋体" w:hAnsi="宋体" w:eastAsia="宋体" w:cs="宋体"/>
                          <w:b/>
                          <w:bCs w:val="0"/>
                          <w:sz w:val="28"/>
                          <w:szCs w:val="28"/>
                        </w:rPr>
                        <w:t xml:space="preserve">表 </w:t>
                      </w:r>
                      <w:r>
                        <w:rPr>
                          <w:rFonts w:hint="eastAsia" w:ascii="宋体" w:hAnsi="宋体" w:cs="宋体"/>
                          <w:b/>
                          <w:bCs w:val="0"/>
                          <w:sz w:val="28"/>
                          <w:szCs w:val="28"/>
                          <w:lang w:val="en-US" w:eastAsia="zh-CN"/>
                        </w:rPr>
                        <w:t>4</w:t>
                      </w:r>
                      <w:r>
                        <w:rPr>
                          <w:rFonts w:hint="eastAsia" w:ascii="宋体" w:hAnsi="宋体" w:eastAsia="宋体" w:cs="宋体"/>
                          <w:b/>
                          <w:bCs w:val="0"/>
                          <w:sz w:val="28"/>
                          <w:szCs w:val="28"/>
                        </w:rPr>
                        <w:t>-2  适用于处理不同超标项目的推荐技术</w:t>
                      </w:r>
                    </w:p>
                  </w:txbxContent>
                </v:textbox>
              </v:rect>
            </w:pict>
          </mc:Fallback>
        </mc:AlternateConten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4.6.2</w:t>
      </w:r>
      <w:r>
        <w:rPr>
          <w:rFonts w:hint="eastAsia" w:asciiTheme="minorEastAsia" w:hAnsiTheme="minorEastAsia" w:eastAsiaTheme="minorEastAsia" w:cstheme="minorEastAsia"/>
          <w:b/>
          <w:bCs/>
          <w:sz w:val="28"/>
          <w:szCs w:val="28"/>
        </w:rPr>
        <w:t>现场处置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现场应急指挥部应根据污染特征，结合专家意见，尽快制定现场处置方案，针对以下情景建议开展如下处置措施：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1)现场应急指挥部组织应急专家组制订综合治污方案，采取拦截、导流、疏浚等形式防止水体污染扩大；采取隔离、吸 附、打捞、氧化还原、中和、去污洗消、临时收贮、转移异地处 置、临时改造污染处置工艺或临时建设污染处置工程等方法处置 污染物。必要时，要求其他排污单位停产、限产、限排，减轻环 境污染负荷。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2)采用监测和模拟等手段追踪污染物扩散途径和范围；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3)立即组织相关部门开展监测、调查工作，查明涉事单位，确定污染物种类和污染范围，随时掌握并报 告事态进展；</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4)指令应急救援队伍进入应急状态，对于陆地污染物， 采用强行止漏法、疏散法和窒息吸附法控制泄漏源，控制泄漏源后可采取围堤堵截或挖掘沟槽收容泄漏物，覆盖减少泄漏物蒸发，稀释，吸附、中和、固化泄漏物，并最终进行污染物收集，防止污染蔓延扩散；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5)加大饮用水水源地水质监测力度；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6)水厂立即采取停止取水、减压供水、改路供水、加大投药量深度处理，启用备用水源，并加强事故泄漏污染物监测，分级启动应急供水预案。无备用水源地区，使用应急输供水车等设施保障居民用水。</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4.6.3</w:t>
      </w:r>
      <w:r>
        <w:rPr>
          <w:rFonts w:hint="eastAsia" w:asciiTheme="minorEastAsia" w:hAnsiTheme="minorEastAsia" w:eastAsiaTheme="minorEastAsia" w:cstheme="minorEastAsia"/>
          <w:b/>
          <w:bCs/>
          <w:sz w:val="28"/>
          <w:szCs w:val="28"/>
        </w:rPr>
        <w:t>供水安全保障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当</w:t>
      </w:r>
      <w:r>
        <w:rPr>
          <w:rFonts w:hint="eastAsia" w:asciiTheme="minorEastAsia" w:hAnsiTheme="minorEastAsia" w:eastAsiaTheme="minorEastAsia" w:cstheme="minorEastAsia"/>
          <w:sz w:val="28"/>
          <w:szCs w:val="28"/>
          <w:lang w:val="en-US" w:eastAsia="zh-CN"/>
        </w:rPr>
        <w:t>出现水源地突发环境事件，水厂应根据污染物的种类、浓度、可能影响取水口的时间，及时采取深度处理、低压供水或启动备用水源等应急措施，并加强污染物监测，待水质满足取水要求时恢复取水和供水。无备用水源的，应使用应急供水车等设施保障居民用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58" w:name="_Toc23237"/>
      <w:r>
        <w:rPr>
          <w:rFonts w:hint="eastAsia" w:asciiTheme="minorEastAsia" w:hAnsiTheme="minorEastAsia" w:eastAsiaTheme="minorEastAsia" w:cstheme="minorEastAsia"/>
          <w:b/>
          <w:bCs/>
          <w:sz w:val="28"/>
          <w:szCs w:val="28"/>
          <w:lang w:val="en-US" w:eastAsia="zh-CN"/>
        </w:rPr>
        <w:t>4.7</w:t>
      </w:r>
      <w:r>
        <w:rPr>
          <w:rFonts w:hint="eastAsia" w:asciiTheme="minorEastAsia" w:hAnsiTheme="minorEastAsia" w:eastAsiaTheme="minorEastAsia" w:cstheme="minorEastAsia"/>
          <w:b/>
          <w:bCs/>
          <w:sz w:val="28"/>
          <w:szCs w:val="28"/>
          <w:lang w:val="zh-CN"/>
        </w:rPr>
        <w:t>物资调集及应急设施启用</w:t>
      </w:r>
      <w:bookmarkEnd w:id="58"/>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应急物资、装备由应急保障组进行统一调配。</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59" w:name="_Toc6981"/>
      <w:r>
        <w:rPr>
          <w:rFonts w:hint="eastAsia" w:asciiTheme="minorEastAsia" w:hAnsiTheme="minorEastAsia" w:eastAsiaTheme="minorEastAsia" w:cstheme="minorEastAsia"/>
          <w:b/>
          <w:bCs/>
          <w:sz w:val="28"/>
          <w:szCs w:val="28"/>
          <w:lang w:val="en-US" w:eastAsia="zh-CN"/>
        </w:rPr>
        <w:t>4.8</w:t>
      </w:r>
      <w:r>
        <w:rPr>
          <w:rFonts w:hint="eastAsia" w:asciiTheme="minorEastAsia" w:hAnsiTheme="minorEastAsia" w:eastAsiaTheme="minorEastAsia" w:cstheme="minorEastAsia"/>
          <w:b/>
          <w:bCs/>
          <w:sz w:val="28"/>
          <w:szCs w:val="28"/>
          <w:lang w:val="zh-CN"/>
        </w:rPr>
        <w:t>舆情监测与信息发布</w:t>
      </w:r>
      <w:bookmarkEnd w:id="59"/>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综合协调组负责及时按规定通过新闻媒体发布饮用水源突发污染事件处置的相关信息，监控、引导社会舆情。</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现场应急指挥部在突发环境事件发生后，应第一时间通过政府发布新闻通稿、举行新闻发布会等多种形式，借助电视、广播、 报纸、网络等多种途径，运用微博、微信、移动客户端等新媒体平台，主动、及时、准确、客观向社会发布突发环境事件有关信息，回应社会关切，澄清不实信息，正确引导社会舆论。</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发布内容包括事件原因、影响区域、已采取的措施及成效、 公众应注意的防范措施、热线电话等。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60" w:name="_Toc29405"/>
      <w:r>
        <w:rPr>
          <w:rFonts w:hint="eastAsia" w:asciiTheme="minorEastAsia" w:hAnsiTheme="minorEastAsia" w:eastAsiaTheme="minorEastAsia" w:cstheme="minorEastAsia"/>
          <w:b/>
          <w:bCs/>
          <w:sz w:val="28"/>
          <w:szCs w:val="28"/>
          <w:lang w:val="en-US" w:eastAsia="zh-CN"/>
        </w:rPr>
        <w:t>4.9响应终</w:t>
      </w:r>
      <w:r>
        <w:rPr>
          <w:rFonts w:hint="eastAsia" w:asciiTheme="minorEastAsia" w:hAnsiTheme="minorEastAsia" w:eastAsiaTheme="minorEastAsia" w:cstheme="minorEastAsia"/>
          <w:b/>
          <w:bCs/>
          <w:sz w:val="28"/>
          <w:szCs w:val="28"/>
          <w:lang w:val="zh-CN"/>
        </w:rPr>
        <w:t>止</w:t>
      </w:r>
      <w:bookmarkEnd w:id="60"/>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符合下列情形之一的，可终止应急响应。</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1)进入水源保护区陆域范围的污染物已成功围堵，且清运至水源保护区外，未向水域扩散时；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2)进入水源保护区水域范围的污染团已成功拦截或导流至水源保护区外，没有向取水口扩散的风险，且水质监测结果稳 定达标；</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3)水质监测结果尚未稳定达标，但根据专家建议可恢复正常取水时。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4)由应急指挥部总指挥发布响应终止，终止已经采取的有关行动和措施。</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sz w:val="32"/>
          <w:szCs w:val="32"/>
        </w:rPr>
      </w:pPr>
      <w:bookmarkStart w:id="61" w:name="_Toc26998"/>
      <w:r>
        <w:rPr>
          <w:rFonts w:hint="eastAsia" w:asciiTheme="minorEastAsia" w:hAnsiTheme="minorEastAsia" w:eastAsiaTheme="minorEastAsia" w:cstheme="minorEastAsia"/>
          <w:b/>
          <w:bCs/>
          <w:sz w:val="32"/>
          <w:szCs w:val="32"/>
          <w:lang w:val="en-US" w:eastAsia="zh-CN"/>
        </w:rPr>
        <w:t>5</w:t>
      </w:r>
      <w:r>
        <w:rPr>
          <w:rFonts w:hint="eastAsia" w:asciiTheme="minorEastAsia" w:hAnsiTheme="minorEastAsia" w:eastAsiaTheme="minorEastAsia" w:cstheme="minorEastAsia"/>
          <w:b/>
          <w:bCs/>
          <w:sz w:val="32"/>
          <w:szCs w:val="32"/>
        </w:rPr>
        <w:t>后期工作</w:t>
      </w:r>
      <w:bookmarkEnd w:id="6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62" w:name="_Toc29562"/>
      <w:r>
        <w:rPr>
          <w:rFonts w:hint="eastAsia" w:asciiTheme="minorEastAsia" w:hAnsiTheme="minorEastAsia" w:eastAsiaTheme="minorEastAsia" w:cstheme="minorEastAsia"/>
          <w:b/>
          <w:bCs/>
          <w:sz w:val="28"/>
          <w:szCs w:val="28"/>
          <w:lang w:val="en-US" w:eastAsia="zh-CN"/>
        </w:rPr>
        <w:t>5.1</w:t>
      </w:r>
      <w:r>
        <w:rPr>
          <w:rFonts w:hint="eastAsia" w:asciiTheme="minorEastAsia" w:hAnsiTheme="minorEastAsia" w:eastAsiaTheme="minorEastAsia" w:cstheme="minorEastAsia"/>
          <w:b/>
          <w:bCs/>
          <w:sz w:val="28"/>
          <w:szCs w:val="28"/>
          <w:lang w:val="zh-CN"/>
        </w:rPr>
        <w:t>后期防控</w:t>
      </w:r>
      <w:bookmarkEnd w:id="62"/>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响应终止后，现场处置组对造成水源地突发环境事件的环境风险物质或污染物进行妥善处置，保证环境风险物质或污染物不会造成二次污染，包括对泄漏的油品、化学品等有害物质进行回收；事故场地及漫延区域的污染物清除完成后，对土壤或水生态系统进行修复；部分污染物导流到水源地下游或其他区域，对区域的污染物进行清除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应急监测组负责组织后期污染监测；铁桥镇政府组织后期污染治理；应急处置组进行消除投放药剂的残留毒性和后期效应，防止次生突发环境事件。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63" w:name="_Toc6709"/>
      <w:r>
        <w:rPr>
          <w:rFonts w:hint="eastAsia" w:asciiTheme="minorEastAsia" w:hAnsiTheme="minorEastAsia" w:eastAsiaTheme="minorEastAsia" w:cstheme="minorEastAsia"/>
          <w:b/>
          <w:bCs/>
          <w:sz w:val="28"/>
          <w:szCs w:val="28"/>
          <w:lang w:val="en-US" w:eastAsia="zh-CN"/>
        </w:rPr>
        <w:t>5.2</w:t>
      </w:r>
      <w:r>
        <w:rPr>
          <w:rFonts w:hint="eastAsia" w:asciiTheme="minorEastAsia" w:hAnsiTheme="minorEastAsia" w:eastAsiaTheme="minorEastAsia" w:cstheme="minorEastAsia"/>
          <w:b/>
          <w:bCs/>
          <w:sz w:val="28"/>
          <w:szCs w:val="28"/>
          <w:lang w:val="zh-CN"/>
        </w:rPr>
        <w:t>事件调查</w:t>
      </w:r>
      <w:bookmarkEnd w:id="63"/>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根据事件调查的有关规定，一般应由镇政府指定部门牵头，有关部门配合，组织开展事件调查，查明事件原因和性质，提出整改防范措施和处理建议。事发相关单位或企业应积极整改，并形成整改反馈报告。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较大或重大环境事件由区政府或区政府指定部门组织调查，镇政府有关部门配合。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64" w:name="_Toc27936"/>
      <w:r>
        <w:rPr>
          <w:rFonts w:hint="eastAsia" w:asciiTheme="minorEastAsia" w:hAnsiTheme="minorEastAsia" w:eastAsiaTheme="minorEastAsia" w:cstheme="minorEastAsia"/>
          <w:b/>
          <w:bCs/>
          <w:sz w:val="28"/>
          <w:szCs w:val="28"/>
          <w:lang w:val="en-US" w:eastAsia="zh-CN"/>
        </w:rPr>
        <w:t>5.3损害评估</w:t>
      </w:r>
      <w:bookmarkEnd w:id="64"/>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根据有关规定，镇水利服务中心督促造成水源地突发环境事件及污染的个人或单位及时组织开展污染损害评估，并将经评审后的评估结果向社会公布。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若造成水源地突发环境事件及污染的个人或单位不明确，应由事发地镇乡人民政府组织开展污染损害评估，并将经评审后的评估结果向社会公布</w:t>
      </w:r>
      <w:r>
        <w:rPr>
          <w:rFonts w:hint="eastAsia" w:asciiTheme="minorEastAsia" w:hAnsiTheme="minorEastAsia" w:eastAsiaTheme="minorEastAsia" w:cstheme="minorEastAsia"/>
          <w:sz w:val="28"/>
          <w:szCs w:val="28"/>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65" w:name="_Toc7865"/>
      <w:r>
        <w:rPr>
          <w:rFonts w:hint="eastAsia" w:asciiTheme="minorEastAsia" w:hAnsiTheme="minorEastAsia" w:eastAsiaTheme="minorEastAsia" w:cstheme="minorEastAsia"/>
          <w:b/>
          <w:bCs/>
          <w:sz w:val="28"/>
          <w:szCs w:val="28"/>
          <w:lang w:val="en-US" w:eastAsia="zh-CN"/>
        </w:rPr>
        <w:t>5.4善后处置</w:t>
      </w:r>
      <w:bookmarkEnd w:id="65"/>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由事发地镇乡人民政府督促肇事单位按照政策规定，对事故伤亡人员给予赔付救治，对伤者及伤亡人员家属进行精神安抚；相关部门按照各自职责进行指导。按照国家规定组织制定补助、补偿、抚慰、抚恤、安置和环境恢复等善后工作方案，并按照法定程序实施。对紧急征用的物资和调集的社会力量按照有关规定予以结算和补偿。保险机构及时开展相关理赔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肇事单位必须对风险隐患进行整改，防止风险源再次引发水污染事件，对涉及的污染场地进行修复，满足相关要求，并对造成社会损害的进行依法赔偿。</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sz w:val="32"/>
          <w:szCs w:val="32"/>
        </w:rPr>
      </w:pPr>
      <w:bookmarkStart w:id="66" w:name="_Toc19404"/>
      <w:r>
        <w:rPr>
          <w:rFonts w:hint="eastAsia" w:asciiTheme="minorEastAsia" w:hAnsiTheme="minorEastAsia" w:eastAsiaTheme="minorEastAsia" w:cstheme="minorEastAsia"/>
          <w:b/>
          <w:bCs/>
          <w:sz w:val="32"/>
          <w:szCs w:val="32"/>
          <w:lang w:val="en-US" w:eastAsia="zh-CN"/>
        </w:rPr>
        <w:t>6</w:t>
      </w:r>
      <w:r>
        <w:rPr>
          <w:rFonts w:hint="eastAsia" w:asciiTheme="minorEastAsia" w:hAnsiTheme="minorEastAsia" w:eastAsiaTheme="minorEastAsia" w:cstheme="minorEastAsia"/>
          <w:b/>
          <w:bCs/>
          <w:sz w:val="32"/>
          <w:szCs w:val="32"/>
        </w:rPr>
        <w:t>应急保障</w:t>
      </w:r>
      <w:bookmarkEnd w:id="66"/>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67" w:name="_Toc31787"/>
      <w:r>
        <w:rPr>
          <w:rFonts w:hint="eastAsia" w:asciiTheme="minorEastAsia" w:hAnsiTheme="minorEastAsia" w:eastAsiaTheme="minorEastAsia" w:cstheme="minorEastAsia"/>
          <w:b/>
          <w:bCs/>
          <w:sz w:val="28"/>
          <w:szCs w:val="28"/>
          <w:lang w:val="en-US" w:eastAsia="zh-CN"/>
        </w:rPr>
        <w:t>6.1</w:t>
      </w:r>
      <w:r>
        <w:rPr>
          <w:rFonts w:hint="eastAsia" w:asciiTheme="minorEastAsia" w:hAnsiTheme="minorEastAsia" w:eastAsiaTheme="minorEastAsia" w:cstheme="minorEastAsia"/>
          <w:b/>
          <w:bCs/>
          <w:sz w:val="28"/>
          <w:szCs w:val="28"/>
          <w:lang w:val="zh-CN"/>
        </w:rPr>
        <w:t>通讯与信息保障</w:t>
      </w:r>
      <w:bookmarkEnd w:id="67"/>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镇政府及其通信主管部门要建立健全突发环境事件应急通信保障体系，确保应急期间通信联络和信息传递需要。参与应急处置指挥部的成员单位及应急处置单位，保持 24小时的通讯畅通。</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应急组织指挥机构的联络方式见附件二。</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宋体" w:hAnsi="宋体" w:eastAsia="宋体" w:cs="宋体"/>
          <w:sz w:val="28"/>
          <w:szCs w:val="28"/>
          <w:lang w:val="en-US" w:eastAsia="zh-CN"/>
        </w:rPr>
        <w:t>综合协调部</w:t>
      </w:r>
      <w:r>
        <w:rPr>
          <w:rFonts w:hint="eastAsia" w:cs="宋体"/>
          <w:sz w:val="28"/>
          <w:szCs w:val="28"/>
          <w:lang w:val="en-US" w:eastAsia="zh-CN"/>
        </w:rPr>
        <w:t>按应急指挥部要求编制</w:t>
      </w:r>
      <w:r>
        <w:rPr>
          <w:rFonts w:hint="eastAsia" w:asciiTheme="minorEastAsia" w:hAnsiTheme="minorEastAsia" w:eastAsiaTheme="minorEastAsia" w:cstheme="minorEastAsia"/>
          <w:sz w:val="28"/>
          <w:szCs w:val="28"/>
          <w:lang w:val="en-US" w:eastAsia="zh-CN"/>
        </w:rPr>
        <w:t>，通过政府发布新闻通稿、举行新闻发布会等多种形式，对外发布事件信息及应急处置进展情况。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外部应急救援机构通讯录，见附件三。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68" w:name="_Toc3257"/>
      <w:r>
        <w:rPr>
          <w:rFonts w:hint="eastAsia" w:asciiTheme="minorEastAsia" w:hAnsiTheme="minorEastAsia" w:eastAsiaTheme="minorEastAsia" w:cstheme="minorEastAsia"/>
          <w:b/>
          <w:bCs/>
          <w:sz w:val="28"/>
          <w:szCs w:val="28"/>
          <w:lang w:val="en-US" w:eastAsia="zh-CN"/>
        </w:rPr>
        <w:t>6.2</w:t>
      </w:r>
      <w:r>
        <w:rPr>
          <w:rFonts w:hint="eastAsia" w:asciiTheme="minorEastAsia" w:hAnsiTheme="minorEastAsia" w:eastAsiaTheme="minorEastAsia" w:cstheme="minorEastAsia"/>
          <w:b/>
          <w:bCs/>
          <w:sz w:val="28"/>
          <w:szCs w:val="28"/>
          <w:lang w:val="zh-CN"/>
        </w:rPr>
        <w:t>应急队伍保障</w:t>
      </w:r>
      <w:bookmarkEnd w:id="68"/>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坚持统筹规划、突出重点，整合现有资源，逐步加强和完善应急队伍建设，形成规模适度、管理规范的应急队伍体系。</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实行“政府领导、总队统筹、军地联动、条块结合、分级负责”的管理体制。应急指挥部成员单位应按照本部门、本单位职责，组建或指导所管辖的企事业单位组建相应的专兼职应急队伍，定期开展相关培训；当启动应急响应时，应急队伍应在现场应急指挥部的统筹安排下，根据各自职能相互配合，开展应急行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采用教学培训或实战演练作为应急预案培训方式，加强不同层面的预案演练培训工作，每年至少组织一次培训，培训内容可以包括信息报告、个体防护、应急资源使用、应急监测布点及监测方法、应急处置方法等培训科目。通过培训，不断提高全体人员的应急反映能力和救援能力</w:t>
      </w:r>
      <w:r>
        <w:rPr>
          <w:rFonts w:hint="eastAsia" w:asciiTheme="minorEastAsia" w:hAnsiTheme="minorEastAsia" w:eastAsiaTheme="minorEastAsia" w:cstheme="minorEastAsia"/>
          <w:sz w:val="28"/>
          <w:szCs w:val="28"/>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69" w:name="_Toc23745"/>
      <w:r>
        <w:rPr>
          <w:rFonts w:hint="eastAsia" w:asciiTheme="minorEastAsia" w:hAnsiTheme="minorEastAsia" w:eastAsiaTheme="minorEastAsia" w:cstheme="minorEastAsia"/>
          <w:b/>
          <w:bCs/>
          <w:sz w:val="28"/>
          <w:szCs w:val="28"/>
          <w:lang w:val="en-US" w:eastAsia="zh-CN"/>
        </w:rPr>
        <w:t>6.3应急资源保障</w:t>
      </w:r>
      <w:bookmarkEnd w:id="69"/>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涉及保护饮用水水源地镇乡人民政府有关部门应常年储备有应急物资、设备（包括药剂、物资、装备和设施）定期进行检查，维护，持续改进提高药剂、物资、装备的存放规范、应急设施的建设要求，确保事件发生时能够快速高效的使用应急资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70" w:name="_Toc29569"/>
      <w:r>
        <w:rPr>
          <w:rFonts w:hint="eastAsia" w:asciiTheme="minorEastAsia" w:hAnsiTheme="minorEastAsia" w:eastAsiaTheme="minorEastAsia" w:cstheme="minorEastAsia"/>
          <w:b/>
          <w:bCs/>
          <w:sz w:val="28"/>
          <w:szCs w:val="28"/>
          <w:lang w:val="en-US" w:eastAsia="zh-CN"/>
        </w:rPr>
        <w:t>6.4经费保障</w:t>
      </w:r>
      <w:bookmarkEnd w:id="70"/>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铁桥镇人民政府每年应安排一定的专项资金，用于本单位、本辖区水源地突发事件的防范和应急处置。应急管理部门预算、应急物资采购费用列入年度预算予以保障；应急处置结束后，据实核销应急处置费用；加强应急工作经费的审计和监督管理，确保专款专用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71" w:name="_Toc14053"/>
      <w:r>
        <w:rPr>
          <w:rFonts w:hint="eastAsia" w:asciiTheme="minorEastAsia" w:hAnsiTheme="minorEastAsia" w:eastAsiaTheme="minorEastAsia" w:cstheme="minorEastAsia"/>
          <w:b/>
          <w:bCs/>
          <w:sz w:val="28"/>
          <w:szCs w:val="28"/>
          <w:lang w:val="en-US" w:eastAsia="zh-CN"/>
        </w:rPr>
        <w:t>6.5其他保障</w:t>
      </w:r>
      <w:bookmarkEnd w:id="7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要为应急救援人员及物资运输提供交通方便，保证紧急情况下应急交通工具的优先安排、优先调度、优先放行，并负责对事故现场道路交通实行管制，必要时开设应急救援“绿色通道”；交通干线及有关设施被毁坏时，协调有关部门和单位迅速组织抢修或架设临时通道，保障交通路线的畅通，确保救灾物资和人员能够及时安全运达，满足应急救援工作需要。</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sz w:val="32"/>
          <w:szCs w:val="32"/>
        </w:rPr>
      </w:pPr>
      <w:bookmarkStart w:id="72" w:name="_Toc16701"/>
      <w:r>
        <w:rPr>
          <w:rFonts w:hint="eastAsia" w:asciiTheme="minorEastAsia" w:hAnsiTheme="minorEastAsia" w:eastAsiaTheme="minorEastAsia" w:cstheme="minorEastAsia"/>
          <w:b/>
          <w:bCs/>
          <w:sz w:val="32"/>
          <w:szCs w:val="32"/>
          <w:lang w:val="en-US" w:eastAsia="zh-CN"/>
        </w:rPr>
        <w:t>7</w:t>
      </w:r>
      <w:r>
        <w:rPr>
          <w:rFonts w:hint="eastAsia" w:asciiTheme="minorEastAsia" w:hAnsiTheme="minorEastAsia" w:eastAsiaTheme="minorEastAsia" w:cstheme="minorEastAsia"/>
          <w:b/>
          <w:bCs/>
          <w:sz w:val="32"/>
          <w:szCs w:val="32"/>
        </w:rPr>
        <w:t>附则</w:t>
      </w:r>
      <w:bookmarkEnd w:id="72"/>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73" w:name="_Toc8795"/>
      <w:r>
        <w:rPr>
          <w:rFonts w:hint="eastAsia" w:asciiTheme="minorEastAsia" w:hAnsiTheme="minorEastAsia" w:eastAsiaTheme="minorEastAsia" w:cstheme="minorEastAsia"/>
          <w:b/>
          <w:bCs/>
          <w:sz w:val="28"/>
          <w:szCs w:val="28"/>
          <w:lang w:val="en-US" w:eastAsia="zh-CN"/>
        </w:rPr>
        <w:t>7.1</w:t>
      </w:r>
      <w:r>
        <w:rPr>
          <w:rFonts w:hint="eastAsia" w:asciiTheme="minorEastAsia" w:hAnsiTheme="minorEastAsia" w:eastAsiaTheme="minorEastAsia" w:cstheme="minorEastAsia"/>
          <w:b/>
          <w:bCs/>
          <w:sz w:val="28"/>
          <w:szCs w:val="28"/>
          <w:lang w:val="zh-CN"/>
        </w:rPr>
        <w:t>名词术语</w:t>
      </w:r>
      <w:bookmarkEnd w:id="73"/>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饮</w:t>
      </w:r>
      <w:r>
        <w:rPr>
          <w:rFonts w:hint="eastAsia" w:asciiTheme="minorEastAsia" w:hAnsiTheme="minorEastAsia" w:eastAsiaTheme="minorEastAsia" w:cstheme="minorEastAsia"/>
          <w:sz w:val="28"/>
          <w:szCs w:val="28"/>
          <w:lang w:val="en-US" w:eastAsia="zh-CN"/>
        </w:rPr>
        <w:t>用水水源保护区</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指国家为防治饮用水水源地污染、保障水源地环境质量而划定，并要求加以特殊保护的一定面积的水域和陆域。饮用水水源保护区分为二级保护区，必要时可在水源保护区外划定准保护区。</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2)地表水饮用水水源地风险物质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zh-CN" w:eastAsia="zh-CN"/>
        </w:rPr>
        <w:t>指《地表水环境质量标准》（GB3838-2002）中表 1、表 2 和表 3 所包含的项目与物质，以及该标准之外其他可能影响人体健康的项目与物质。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3)饮用水水源地突发环境事件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zh-CN" w:eastAsia="zh-CN"/>
        </w:rPr>
        <w:t>指由于污染物排放或自然灾害、生产安全事故、交通运输事故等因素，导致水源地风险物质进入水源保护区或其上游的连接水体，突然造成或可能造成水源地水质超标，影响或可能影响饮用水供水单位正常取水，危及公众身体健康和财产安全，需要采取紧急措施予以应对的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4)水质超标</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zh-CN" w:eastAsia="zh-CN"/>
        </w:rPr>
        <w:t>指水源地水质超过《地表水环境质量标准》（GB3838-2002）、</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zh-CN" w:eastAsia="zh-CN"/>
        </w:rPr>
        <w:t>《地下水质量标准》（GB/T14848-2017）规定的Ⅲ类水质标准或标准限值的要求。</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74" w:name="_Toc17792"/>
      <w:r>
        <w:rPr>
          <w:rFonts w:hint="eastAsia" w:asciiTheme="minorEastAsia" w:hAnsiTheme="minorEastAsia" w:eastAsiaTheme="minorEastAsia" w:cstheme="minorEastAsia"/>
          <w:b/>
          <w:bCs/>
          <w:sz w:val="28"/>
          <w:szCs w:val="28"/>
          <w:lang w:val="en-US" w:eastAsia="zh-CN"/>
        </w:rPr>
        <w:t>7.2</w:t>
      </w:r>
      <w:r>
        <w:rPr>
          <w:rFonts w:hint="eastAsia" w:asciiTheme="minorEastAsia" w:hAnsiTheme="minorEastAsia" w:eastAsiaTheme="minorEastAsia" w:cstheme="minorEastAsia"/>
          <w:b/>
          <w:bCs/>
          <w:sz w:val="28"/>
          <w:szCs w:val="28"/>
          <w:lang w:val="zh-CN"/>
        </w:rPr>
        <w:t>预案解释权属</w:t>
      </w:r>
      <w:bookmarkEnd w:id="74"/>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zh-CN" w:eastAsia="zh-CN"/>
        </w:rPr>
        <w:t>重庆市开州区</w:t>
      </w:r>
      <w:r>
        <w:rPr>
          <w:rFonts w:hint="eastAsia" w:asciiTheme="minorEastAsia" w:hAnsiTheme="minorEastAsia" w:eastAsiaTheme="minorEastAsia" w:cstheme="minorEastAsia"/>
          <w:sz w:val="28"/>
          <w:szCs w:val="28"/>
          <w:lang w:val="en-US" w:eastAsia="zh-CN"/>
        </w:rPr>
        <w:t>铁桥镇</w:t>
      </w:r>
      <w:r>
        <w:rPr>
          <w:rFonts w:hint="eastAsia" w:asciiTheme="minorEastAsia" w:hAnsiTheme="minorEastAsia" w:eastAsiaTheme="minorEastAsia" w:cstheme="minorEastAsia"/>
          <w:sz w:val="28"/>
          <w:szCs w:val="28"/>
          <w:lang w:val="zh-CN" w:eastAsia="zh-CN"/>
        </w:rPr>
        <w:t>饮用水水源地突发环境事件应急预案的解释权归属开州区</w:t>
      </w:r>
      <w:r>
        <w:rPr>
          <w:rFonts w:hint="eastAsia" w:asciiTheme="minorEastAsia" w:hAnsiTheme="minorEastAsia" w:eastAsiaTheme="minorEastAsia" w:cstheme="minorEastAsia"/>
          <w:sz w:val="28"/>
          <w:szCs w:val="28"/>
          <w:lang w:val="en-US" w:eastAsia="zh-CN"/>
        </w:rPr>
        <w:t>铁桥镇人民政府</w:t>
      </w:r>
      <w:r>
        <w:rPr>
          <w:rFonts w:hint="eastAsia" w:asciiTheme="minorEastAsia" w:hAnsiTheme="minorEastAsia" w:eastAsiaTheme="minorEastAsia" w:cstheme="minorEastAsia"/>
          <w:sz w:val="28"/>
          <w:szCs w:val="28"/>
          <w:lang w:val="zh-CN"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75" w:name="_Toc29630"/>
      <w:r>
        <w:rPr>
          <w:rFonts w:hint="eastAsia" w:asciiTheme="minorEastAsia" w:hAnsiTheme="minorEastAsia" w:eastAsiaTheme="minorEastAsia" w:cstheme="minorEastAsia"/>
          <w:b/>
          <w:bCs/>
          <w:sz w:val="28"/>
          <w:szCs w:val="28"/>
          <w:lang w:val="en-US" w:eastAsia="zh-CN"/>
        </w:rPr>
        <w:t>7.3预案演练和修订</w:t>
      </w:r>
      <w:bookmarkEnd w:id="75"/>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zh-CN" w:eastAsia="zh-CN"/>
        </w:rPr>
        <w:t>应急指挥部办公室每年开展一次水源地突发环境事件应急处置演练。</w:t>
      </w:r>
      <w:r>
        <w:rPr>
          <w:rFonts w:hint="eastAsia" w:asciiTheme="minorEastAsia" w:hAnsiTheme="minorEastAsia" w:eastAsiaTheme="minorEastAsia" w:cstheme="minorEastAsia"/>
          <w:sz w:val="28"/>
          <w:szCs w:val="28"/>
          <w:lang w:val="en-US" w:eastAsia="zh-CN"/>
        </w:rPr>
        <w:t>定时组织供管水有关人员学习人员学习现行生活饮用水有关法律法规、标准规范及有关卫生要求，使其知法、懂法、自觉守法，不断增强依法供水、管水的法制观念和责任意识，按要求履行其职责及义务，保证所供给的生活饮水卫生质量；同时进行生活饮用水污染事故应急处理及救援知识专门培训和教育，增强水污染事故防范意识和应对能力，并开展应急演练，</w:t>
      </w:r>
      <w:r>
        <w:rPr>
          <w:rFonts w:hint="eastAsia" w:asciiTheme="minorEastAsia" w:hAnsiTheme="minorEastAsia" w:eastAsiaTheme="minorEastAsia" w:cstheme="minorEastAsia"/>
          <w:sz w:val="28"/>
          <w:szCs w:val="28"/>
          <w:lang w:val="zh-CN" w:eastAsia="zh-CN"/>
        </w:rPr>
        <w:t>演练内容包括通讯系统是否正常运作、信息报送流程是否畅通、各应急工作组配合是否协调、应急人员能力是否满足需要等。演练结束后，应对演练情况进行总结评估，并根据演练结果及时修订完善。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zh-CN" w:eastAsia="zh-CN"/>
        </w:rPr>
        <w:t>本预案原则上每</w:t>
      </w:r>
      <w:r>
        <w:rPr>
          <w:rFonts w:hint="eastAsia" w:asciiTheme="minorEastAsia" w:hAnsiTheme="minorEastAsia" w:eastAsiaTheme="minorEastAsia" w:cstheme="minorEastAsia"/>
          <w:sz w:val="28"/>
          <w:szCs w:val="28"/>
          <w:lang w:val="en-US" w:eastAsia="zh-CN"/>
        </w:rPr>
        <w:t>三</w:t>
      </w:r>
      <w:r>
        <w:rPr>
          <w:rFonts w:hint="eastAsia" w:asciiTheme="minorEastAsia" w:hAnsiTheme="minorEastAsia" w:eastAsiaTheme="minorEastAsia" w:cstheme="minorEastAsia"/>
          <w:sz w:val="28"/>
          <w:szCs w:val="28"/>
          <w:lang w:val="zh-CN" w:eastAsia="zh-CN"/>
        </w:rPr>
        <w:t>年修订一次，但若在演练中存在重大偏差和缺陷，存在较大的不适应，预案所依据的法律法规、所涉及的机构和人员发生重大变化，或在执行中有新的情况，应及时对应急预案进行修订，修订完善后的应急预案应及时发至相关部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76" w:name="_Toc8302"/>
      <w:r>
        <w:rPr>
          <w:rFonts w:hint="eastAsia" w:asciiTheme="minorEastAsia" w:hAnsiTheme="minorEastAsia" w:eastAsiaTheme="minorEastAsia" w:cstheme="minorEastAsia"/>
          <w:b/>
          <w:bCs/>
          <w:sz w:val="28"/>
          <w:szCs w:val="28"/>
          <w:lang w:val="en-US" w:eastAsia="zh-CN"/>
        </w:rPr>
        <w:t>7.4预案实施日期</w:t>
      </w:r>
      <w:bookmarkEnd w:id="76"/>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本预案自公布之日起施行。</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sz w:val="32"/>
          <w:szCs w:val="32"/>
          <w:lang w:val="en-US" w:eastAsia="zh-CN"/>
        </w:rPr>
      </w:pPr>
      <w:bookmarkStart w:id="77" w:name="_Toc14548"/>
      <w:r>
        <w:rPr>
          <w:rFonts w:hint="eastAsia" w:asciiTheme="minorEastAsia" w:hAnsiTheme="minorEastAsia" w:eastAsiaTheme="minorEastAsia" w:cstheme="minorEastAsia"/>
          <w:b/>
          <w:bCs/>
          <w:sz w:val="32"/>
          <w:szCs w:val="32"/>
          <w:lang w:val="en-US" w:eastAsia="zh-CN"/>
        </w:rPr>
        <w:t>附件及附图</w:t>
      </w:r>
      <w:bookmarkEnd w:id="77"/>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附件</w:t>
      </w:r>
      <w:r>
        <w:rPr>
          <w:rFonts w:hint="eastAsia" w:asciiTheme="minorEastAsia" w:hAnsiTheme="minorEastAsia" w:eastAsiaTheme="minorEastAsia" w:cstheme="minorEastAsia"/>
          <w:sz w:val="28"/>
          <w:szCs w:val="28"/>
          <w:lang w:val="en-US" w:eastAsia="zh-CN"/>
        </w:rPr>
        <w:t>一</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饮用水水源地突发环境事件分级标准</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附件二：</w:t>
      </w:r>
      <w:r>
        <w:rPr>
          <w:rFonts w:hint="eastAsia" w:asciiTheme="minorEastAsia" w:hAnsiTheme="minorEastAsia" w:eastAsiaTheme="minorEastAsia" w:cstheme="minorEastAsia"/>
          <w:sz w:val="28"/>
          <w:szCs w:val="28"/>
        </w:rPr>
        <w:t>应急组织机构联络方式</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附件三：外部救援机构联系电话</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zh-CN"/>
        </w:rPr>
        <w:t>附件</w:t>
      </w:r>
      <w:r>
        <w:rPr>
          <w:rFonts w:hint="eastAsia" w:asciiTheme="minorEastAsia" w:hAnsiTheme="minorEastAsia" w:eastAsiaTheme="minorEastAsia" w:cstheme="minorEastAsia"/>
          <w:sz w:val="28"/>
          <w:szCs w:val="28"/>
          <w:lang w:val="en-US" w:eastAsia="zh-CN"/>
        </w:rPr>
        <w:t>四：</w:t>
      </w:r>
      <w:r>
        <w:rPr>
          <w:rFonts w:hint="eastAsia" w:asciiTheme="minorEastAsia" w:hAnsiTheme="minorEastAsia" w:eastAsiaTheme="minorEastAsia" w:cstheme="minorEastAsia"/>
          <w:sz w:val="28"/>
          <w:szCs w:val="28"/>
          <w:lang w:val="zh-CN"/>
        </w:rPr>
        <w:t>应急救援物资一览表</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eastAsia" w:cs="宋体"/>
          <w:b w:val="0"/>
          <w:bCs w:val="0"/>
          <w:color w:val="auto"/>
          <w:sz w:val="28"/>
          <w:szCs w:val="28"/>
          <w:lang w:val="zh-CN" w:eastAsia="zh-CN"/>
        </w:rPr>
      </w:pPr>
      <w:r>
        <w:rPr>
          <w:rFonts w:hint="eastAsia" w:cs="宋体"/>
          <w:b w:val="0"/>
          <w:bCs w:val="0"/>
          <w:color w:val="auto"/>
          <w:sz w:val="28"/>
          <w:szCs w:val="28"/>
          <w:lang w:val="zh-CN" w:eastAsia="zh-CN"/>
        </w:rPr>
        <w:t>附</w:t>
      </w:r>
      <w:r>
        <w:rPr>
          <w:rFonts w:hint="eastAsia" w:cs="宋体"/>
          <w:b w:val="0"/>
          <w:bCs w:val="0"/>
          <w:color w:val="auto"/>
          <w:sz w:val="28"/>
          <w:szCs w:val="28"/>
          <w:lang w:val="en-US" w:eastAsia="zh-CN"/>
        </w:rPr>
        <w:t>图一：</w:t>
      </w:r>
      <w:r>
        <w:rPr>
          <w:rFonts w:hint="eastAsia" w:cs="宋体"/>
          <w:b w:val="0"/>
          <w:bCs w:val="0"/>
          <w:color w:val="auto"/>
          <w:sz w:val="28"/>
          <w:szCs w:val="28"/>
          <w:lang w:val="zh-CN" w:eastAsia="zh-CN"/>
        </w:rPr>
        <w:t>开州区</w:t>
      </w:r>
      <w:r>
        <w:rPr>
          <w:rFonts w:hint="eastAsia" w:cs="宋体"/>
          <w:b w:val="0"/>
          <w:bCs w:val="0"/>
          <w:color w:val="auto"/>
          <w:sz w:val="28"/>
          <w:szCs w:val="28"/>
          <w:lang w:val="en-US" w:eastAsia="zh-CN"/>
        </w:rPr>
        <w:t>铁桥镇</w:t>
      </w:r>
      <w:r>
        <w:rPr>
          <w:rFonts w:hint="eastAsia" w:cs="宋体"/>
          <w:b w:val="0"/>
          <w:bCs w:val="0"/>
          <w:color w:val="auto"/>
          <w:sz w:val="28"/>
          <w:szCs w:val="28"/>
          <w:lang w:val="zh-CN" w:eastAsia="zh-CN"/>
        </w:rPr>
        <w:t>集中式地表水饮用水水源地地理位置图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default" w:cs="宋体"/>
          <w:b w:val="0"/>
          <w:bCs w:val="0"/>
          <w:color w:val="auto"/>
          <w:sz w:val="28"/>
          <w:szCs w:val="28"/>
          <w:lang w:val="en-US" w:eastAsia="zh-CN"/>
        </w:rPr>
      </w:pPr>
      <w:r>
        <w:rPr>
          <w:rFonts w:hint="eastAsia" w:cs="宋体"/>
          <w:b w:val="0"/>
          <w:bCs w:val="0"/>
          <w:color w:val="auto"/>
          <w:sz w:val="28"/>
          <w:szCs w:val="28"/>
          <w:lang w:val="zh-CN" w:eastAsia="zh-CN"/>
        </w:rPr>
        <w:t>附</w:t>
      </w:r>
      <w:r>
        <w:rPr>
          <w:rFonts w:hint="eastAsia" w:cs="宋体"/>
          <w:b w:val="0"/>
          <w:bCs w:val="0"/>
          <w:color w:val="auto"/>
          <w:sz w:val="28"/>
          <w:szCs w:val="28"/>
          <w:lang w:val="en-US" w:eastAsia="zh-CN"/>
        </w:rPr>
        <w:t>图二：</w:t>
      </w:r>
      <w:r>
        <w:rPr>
          <w:rFonts w:hint="eastAsia" w:cs="宋体"/>
          <w:b w:val="0"/>
          <w:bCs w:val="0"/>
          <w:color w:val="auto"/>
          <w:sz w:val="28"/>
          <w:szCs w:val="28"/>
          <w:lang w:val="zh-CN" w:eastAsia="zh-CN"/>
        </w:rPr>
        <w:t>开州区</w:t>
      </w:r>
      <w:r>
        <w:rPr>
          <w:rFonts w:hint="eastAsia" w:cs="宋体"/>
          <w:b w:val="0"/>
          <w:bCs w:val="0"/>
          <w:color w:val="auto"/>
          <w:sz w:val="28"/>
          <w:szCs w:val="28"/>
          <w:lang w:val="en-US" w:eastAsia="zh-CN"/>
        </w:rPr>
        <w:t>铁桥镇</w:t>
      </w:r>
      <w:r>
        <w:rPr>
          <w:rFonts w:hint="eastAsia" w:cs="宋体"/>
          <w:b w:val="0"/>
          <w:bCs w:val="0"/>
          <w:color w:val="auto"/>
          <w:sz w:val="28"/>
          <w:szCs w:val="28"/>
          <w:lang w:val="zh-CN" w:eastAsia="zh-CN"/>
        </w:rPr>
        <w:t>集中式地表水饮用水水源地</w:t>
      </w:r>
      <w:r>
        <w:rPr>
          <w:rFonts w:hint="eastAsia" w:cs="宋体"/>
          <w:b w:val="0"/>
          <w:bCs w:val="0"/>
          <w:color w:val="auto"/>
          <w:sz w:val="28"/>
          <w:szCs w:val="28"/>
          <w:lang w:val="en-US" w:eastAsia="zh-CN"/>
        </w:rPr>
        <w:t>保护区域范围图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eastAsia" w:cs="宋体"/>
          <w:b w:val="0"/>
          <w:bCs w:val="0"/>
          <w:color w:val="auto"/>
          <w:sz w:val="28"/>
          <w:szCs w:val="28"/>
          <w:lang w:val="en-US" w:eastAsia="zh-CN"/>
        </w:rPr>
      </w:pPr>
      <w:r>
        <w:rPr>
          <w:rFonts w:hint="eastAsia" w:cs="宋体"/>
          <w:b w:val="0"/>
          <w:bCs w:val="0"/>
          <w:color w:val="auto"/>
          <w:sz w:val="28"/>
          <w:szCs w:val="28"/>
          <w:lang w:val="en-US" w:eastAsia="zh-CN"/>
        </w:rPr>
        <w:t>附图三：开州区铁桥镇供水区域图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default" w:cs="宋体"/>
          <w:b w:val="0"/>
          <w:bCs w:val="0"/>
          <w:color w:val="auto"/>
          <w:sz w:val="28"/>
          <w:szCs w:val="28"/>
          <w:lang w:val="en-US" w:eastAsia="zh-CN"/>
        </w:rPr>
      </w:pPr>
      <w:r>
        <w:rPr>
          <w:rFonts w:hint="eastAsia" w:cs="宋体"/>
          <w:b w:val="0"/>
          <w:bCs w:val="0"/>
          <w:color w:val="auto"/>
          <w:sz w:val="28"/>
          <w:szCs w:val="28"/>
          <w:lang w:val="en-US" w:eastAsia="zh-CN"/>
        </w:rPr>
        <w:t>附图四：开州区水系图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eastAsia" w:cs="宋体"/>
          <w:b w:val="0"/>
          <w:bCs w:val="0"/>
          <w:color w:val="auto"/>
          <w:sz w:val="28"/>
          <w:szCs w:val="28"/>
          <w:lang w:val="en-US" w:eastAsia="zh-CN"/>
        </w:rPr>
        <w:sectPr>
          <w:footerReference r:id="rId9" w:type="default"/>
          <w:pgSz w:w="11906" w:h="16838"/>
          <w:pgMar w:top="1440" w:right="1800" w:bottom="1440" w:left="1800" w:header="851" w:footer="992" w:gutter="0"/>
          <w:pgNumType w:fmt="decimal" w:start="1"/>
          <w:cols w:space="425" w:num="1"/>
          <w:docGrid w:type="lines" w:linePitch="312" w:charSpace="0"/>
        </w:sectPr>
      </w:pPr>
      <w:r>
        <w:rPr>
          <w:rFonts w:hint="eastAsia" w:cs="宋体"/>
          <w:b w:val="0"/>
          <w:bCs w:val="0"/>
          <w:color w:val="auto"/>
          <w:sz w:val="28"/>
          <w:szCs w:val="28"/>
          <w:lang w:val="en-US" w:eastAsia="zh-CN"/>
        </w:rPr>
        <w:t>附图五：开州区地图</w:t>
      </w:r>
    </w:p>
    <w:bookmarkEnd w:id="48"/>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78" w:name="_Toc1590"/>
      <w:r>
        <w:rPr>
          <w:rFonts w:hint="eastAsia" w:asciiTheme="minorEastAsia" w:hAnsiTheme="minorEastAsia" w:eastAsiaTheme="minorEastAsia" w:cstheme="minorEastAsia"/>
          <w:b/>
          <w:bCs/>
          <w:sz w:val="28"/>
          <w:szCs w:val="28"/>
          <w:lang w:val="zh-CN"/>
        </w:rPr>
        <w:t>附件</w:t>
      </w:r>
      <w:r>
        <w:rPr>
          <w:rFonts w:hint="eastAsia" w:asciiTheme="minorEastAsia" w:hAnsiTheme="minorEastAsia" w:eastAsiaTheme="minorEastAsia" w:cstheme="minorEastAsia"/>
          <w:b/>
          <w:bCs/>
          <w:sz w:val="28"/>
          <w:szCs w:val="28"/>
          <w:lang w:val="en-US" w:eastAsia="zh-CN"/>
        </w:rPr>
        <w:t>一</w:t>
      </w:r>
      <w:r>
        <w:rPr>
          <w:rFonts w:hint="eastAsia" w:asciiTheme="minorEastAsia" w:hAnsiTheme="minorEastAsia" w:eastAsiaTheme="minorEastAsia" w:cstheme="minorEastAsia"/>
          <w:b/>
          <w:bCs/>
          <w:sz w:val="28"/>
          <w:szCs w:val="28"/>
          <w:lang w:val="zh-CN" w:eastAsia="zh-CN"/>
        </w:rPr>
        <w:t>：</w:t>
      </w:r>
      <w:r>
        <w:rPr>
          <w:rFonts w:hint="eastAsia" w:asciiTheme="minorEastAsia" w:hAnsiTheme="minorEastAsia" w:eastAsiaTheme="minorEastAsia" w:cstheme="minorEastAsia"/>
          <w:b/>
          <w:bCs/>
          <w:sz w:val="28"/>
          <w:szCs w:val="28"/>
          <w:lang w:val="zh-CN"/>
        </w:rPr>
        <w:t>饮用水水源地突发环境事件分级标准</w:t>
      </w:r>
      <w:bookmarkEnd w:id="78"/>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参照《国家突发环境事件应急预案》（2014年版）、《重庆市突发环境事件应急预案》（渝府办发〔2016〕22号），重庆市开州区铁桥镇饮用水水源地突发环境事件做出如下分级规定。</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一、重大环境事件（Ⅰ级）：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1)发生10人以上、30人以下死亡，中毒（重伤）50人以上，100人以下的；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2)区域生态功能部分丧失或濒危物种生存环境受到污染；</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3)因环境污染使当地经济、社会活动受到较大影响，疏散转移群众1万人以上，5万人以下的；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4)因环境污染造成重要河流、湖泊、水库大面积污染，或乡级以上城镇水源地取水中断的污染事故。</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二、较大环境事件（Ⅱ级）：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1)发生3人以上、10人以下死亡，或中毒（重伤）10以上、50人以下；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2)因环境污染造成跨乡级行政区纠纷，使当地经济、社会活动受到影响；</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三、一般环境事件（Ⅲ级）：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1)发生3人以下死亡，中毒（重伤）10以下；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2)因环境污染造成跨村级行政区域纠纷，引起一般群体</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rPr>
      </w:pPr>
      <w:bookmarkStart w:id="79" w:name="_Toc17537"/>
      <w:r>
        <w:rPr>
          <w:rFonts w:hint="eastAsia" w:asciiTheme="minorEastAsia" w:hAnsiTheme="minorEastAsia" w:eastAsiaTheme="minorEastAsia" w:cstheme="minorEastAsia"/>
          <w:b/>
          <w:bCs/>
          <w:sz w:val="28"/>
          <w:szCs w:val="28"/>
          <w:lang w:val="en-US" w:eastAsia="zh-CN"/>
        </w:rPr>
        <w:t>附件二：</w:t>
      </w:r>
      <w:r>
        <w:rPr>
          <w:rFonts w:hint="eastAsia" w:asciiTheme="minorEastAsia" w:hAnsiTheme="minorEastAsia" w:eastAsiaTheme="minorEastAsia" w:cstheme="minorEastAsia"/>
          <w:b/>
          <w:bCs/>
          <w:sz w:val="28"/>
          <w:szCs w:val="28"/>
          <w:lang w:val="zh-CN"/>
        </w:rPr>
        <w:t>应急组织机构联络方式</w:t>
      </w:r>
      <w:bookmarkEnd w:id="79"/>
    </w:p>
    <w:tbl>
      <w:tblPr>
        <w:tblStyle w:val="14"/>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1245"/>
        <w:gridCol w:w="2370"/>
        <w:gridCol w:w="1504"/>
        <w:gridCol w:w="2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宋体" w:hAnsi="宋体" w:eastAsia="宋体" w:cs="宋体"/>
                <w:b/>
                <w:color w:val="auto"/>
                <w:sz w:val="21"/>
                <w:szCs w:val="21"/>
              </w:rPr>
            </w:pPr>
            <w:r>
              <w:rPr>
                <w:rFonts w:hint="eastAsia" w:asciiTheme="minorEastAsia" w:hAnsiTheme="minorEastAsia" w:eastAsiaTheme="minorEastAsia" w:cstheme="minorEastAsia"/>
                <w:sz w:val="28"/>
                <w:szCs w:val="28"/>
                <w:lang w:val="en-US" w:eastAsia="zh-CN"/>
              </w:rPr>
              <w:br w:type="page"/>
            </w:r>
            <w:r>
              <w:rPr>
                <w:rFonts w:hint="eastAsia" w:ascii="宋体" w:hAnsi="宋体" w:eastAsia="宋体" w:cs="宋体"/>
                <w:b/>
                <w:color w:val="auto"/>
                <w:sz w:val="21"/>
                <w:szCs w:val="21"/>
              </w:rPr>
              <w:t>名称</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应急职务</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职位</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b/>
                <w:color w:val="auto"/>
                <w:sz w:val="21"/>
                <w:szCs w:val="21"/>
                <w:lang w:eastAsia="zh-CN"/>
              </w:rPr>
            </w:pPr>
            <w:r>
              <w:rPr>
                <w:rFonts w:hint="eastAsia" w:ascii="宋体" w:hAnsi="宋体" w:eastAsia="宋体" w:cs="宋体"/>
                <w:b/>
                <w:color w:val="auto"/>
                <w:sz w:val="21"/>
                <w:szCs w:val="21"/>
                <w:lang w:eastAsia="zh-CN"/>
              </w:rPr>
              <w:t>姓名</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b/>
                <w:color w:val="auto"/>
                <w:sz w:val="21"/>
                <w:szCs w:val="21"/>
                <w:lang w:eastAsia="zh-CN"/>
              </w:rPr>
            </w:pPr>
            <w:r>
              <w:rPr>
                <w:rFonts w:hint="eastAsia" w:ascii="宋体" w:hAnsi="宋体" w:eastAsia="宋体" w:cs="宋体"/>
                <w:b/>
                <w:color w:val="auto"/>
                <w:sz w:val="21"/>
                <w:szCs w:val="21"/>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应急指挥部</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总指挥</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镇长</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王才毅</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13635326538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副总指挥</w:t>
            </w:r>
          </w:p>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副镇长</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颜家华</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13635332333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副镇长</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李培付</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13594422963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副镇长</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刘兵</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15223715678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成员</w:t>
            </w:r>
          </w:p>
        </w:tc>
        <w:tc>
          <w:tcPr>
            <w:tcW w:w="6015" w:type="dxa"/>
            <w:gridSpan w:val="3"/>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党政办、平安办、应急办、财政办、规建环办、社事办、执法办、水利服务中心、农业服务中心、人居环境服务中心、综合执法大队、派出所、卫生院、供电所负责人和各村（社区）挂片领导、支部书记、主任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0"/>
            <w:vAlign w:val="center"/>
          </w:tcPr>
          <w:p>
            <w:pPr>
              <w:pageBreakBefore w:val="0"/>
              <w:widowControl w:val="0"/>
              <w:kinsoku/>
              <w:wordWrap/>
              <w:overflowPunct/>
              <w:topLinePunct w:val="0"/>
              <w:bidi w:val="0"/>
              <w:adjustRightInd w:val="0"/>
              <w:snapToGrid w:val="0"/>
              <w:spacing w:line="360" w:lineRule="auto"/>
              <w:ind w:left="0" w:leftChars="0"/>
              <w:jc w:val="center"/>
              <w:textAlignment w:val="auto"/>
              <w:rPr>
                <w:rFonts w:hint="eastAsia" w:ascii="宋体" w:hAnsi="宋体" w:eastAsia="宋体" w:cs="宋体"/>
                <w:color w:val="auto"/>
                <w:sz w:val="21"/>
                <w:szCs w:val="21"/>
              </w:rPr>
            </w:pPr>
            <w:r>
              <w:rPr>
                <w:rFonts w:ascii="Times New Roman" w:hAnsi="Times New Roman"/>
                <w:sz w:val="21"/>
                <w:szCs w:val="21"/>
              </w:rPr>
              <w:t>现场处置组</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组长</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铁桥镇副镇长（分管安全</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颜家华</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default" w:ascii="宋体" w:hAnsi="宋体" w:eastAsia="宋体" w:cs="宋体"/>
                <w:color w:val="auto"/>
                <w:sz w:val="21"/>
                <w:szCs w:val="21"/>
                <w:lang w:val="en-US" w:eastAsia="zh-CN"/>
              </w:rPr>
              <w:t>13635332333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应急办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魏大国</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13609443431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应急办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陈建</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13628220272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应急办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曾冬玲</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13648449815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应急办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吕宁</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13594455921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平安办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杨俊</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13637876769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派出所</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朱光明</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15202363331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万塘水库管理员</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谭代国</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15923875737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铁桥自来水有限公司</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陈亮</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13996537076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0"/>
            <w:vAlign w:val="center"/>
          </w:tcPr>
          <w:p>
            <w:pPr>
              <w:pageBreakBefore w:val="0"/>
              <w:widowControl w:val="0"/>
              <w:kinsoku/>
              <w:wordWrap/>
              <w:overflowPunct/>
              <w:topLinePunct w:val="0"/>
              <w:bidi w:val="0"/>
              <w:adjustRightInd w:val="0"/>
              <w:snapToGrid w:val="0"/>
              <w:spacing w:line="360" w:lineRule="auto"/>
              <w:ind w:left="0" w:leftChars="0"/>
              <w:jc w:val="center"/>
              <w:textAlignment w:val="auto"/>
              <w:rPr>
                <w:rFonts w:hint="eastAsia" w:ascii="宋体" w:hAnsi="宋体" w:eastAsia="宋体" w:cs="宋体"/>
                <w:color w:val="auto"/>
                <w:sz w:val="21"/>
                <w:szCs w:val="21"/>
              </w:rPr>
            </w:pPr>
            <w:r>
              <w:rPr>
                <w:rFonts w:ascii="Times New Roman" w:hAnsi="Times New Roman"/>
                <w:sz w:val="21"/>
                <w:szCs w:val="21"/>
              </w:rPr>
              <w:t>综合协调组</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组长</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组织委员</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黄琳</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13658462334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党政办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李蓉</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18223616599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水利服务中心</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徐家宜</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13594435906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人居环境服务中心</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江智华</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18184708797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规建环办、执法办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刘志超</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15823705777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农业服务中心</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邹兴东</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13628204985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综合执法大队</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沈勇</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13272932888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0"/>
            <w:vAlign w:val="center"/>
          </w:tcPr>
          <w:p>
            <w:pPr>
              <w:pageBreakBefore w:val="0"/>
              <w:widowControl w:val="0"/>
              <w:kinsoku/>
              <w:wordWrap/>
              <w:overflowPunct/>
              <w:topLinePunct w:val="0"/>
              <w:bidi w:val="0"/>
              <w:adjustRightInd w:val="0"/>
              <w:snapToGrid w:val="0"/>
              <w:spacing w:line="360" w:lineRule="auto"/>
              <w:ind w:left="0" w:leftChars="0"/>
              <w:jc w:val="center"/>
              <w:textAlignment w:val="auto"/>
              <w:rPr>
                <w:rFonts w:hint="eastAsia" w:ascii="宋体" w:hAnsi="宋体" w:eastAsia="宋体" w:cs="宋体"/>
                <w:color w:val="auto"/>
                <w:sz w:val="21"/>
                <w:szCs w:val="21"/>
              </w:rPr>
            </w:pPr>
            <w:r>
              <w:rPr>
                <w:rFonts w:ascii="Times New Roman" w:hAnsi="Times New Roman"/>
                <w:sz w:val="21"/>
                <w:szCs w:val="21"/>
              </w:rPr>
              <w:t>应急保障组</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组长</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副书记</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杨人萍</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15330302323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财政办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彭小蓉</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15320751882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社事办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李香丹</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13996298666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卫生院</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陈江山</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13896314869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供电所</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周鹏</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13635323123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0"/>
            <w:vAlign w:val="center"/>
          </w:tcPr>
          <w:p>
            <w:pPr>
              <w:pageBreakBefore w:val="0"/>
              <w:widowControl w:val="0"/>
              <w:kinsoku/>
              <w:wordWrap/>
              <w:overflowPunct/>
              <w:topLinePunct w:val="0"/>
              <w:bidi w:val="0"/>
              <w:adjustRightInd w:val="0"/>
              <w:snapToGrid w:val="0"/>
              <w:spacing w:line="360" w:lineRule="auto"/>
              <w:ind w:left="0" w:leftChars="0"/>
              <w:jc w:val="center"/>
              <w:textAlignment w:val="auto"/>
              <w:rPr>
                <w:rFonts w:hint="eastAsia" w:ascii="宋体" w:hAnsi="宋体" w:eastAsia="宋体" w:cs="宋体"/>
                <w:color w:val="auto"/>
                <w:sz w:val="21"/>
                <w:szCs w:val="21"/>
              </w:rPr>
            </w:pPr>
            <w:r>
              <w:rPr>
                <w:rFonts w:ascii="Times New Roman" w:hAnsi="Times New Roman"/>
                <w:sz w:val="21"/>
                <w:szCs w:val="21"/>
              </w:rPr>
              <w:t>应急监测组</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组长</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副镇长</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李培付、刘兵</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13594422963</w:t>
            </w:r>
            <w:r>
              <w:rPr>
                <w:rFonts w:hint="eastAsia" w:ascii="宋体" w:hAnsi="宋体" w:eastAsia="宋体" w:cs="宋体"/>
                <w:color w:val="auto"/>
                <w:sz w:val="21"/>
                <w:szCs w:val="21"/>
                <w:lang w:eastAsia="zh-CN"/>
              </w:rPr>
              <w:t>、</w:t>
            </w:r>
            <w:r>
              <w:rPr>
                <w:rFonts w:hint="default" w:ascii="宋体" w:hAnsi="宋体" w:eastAsia="宋体" w:cs="宋体"/>
                <w:color w:val="auto"/>
                <w:sz w:val="21"/>
                <w:szCs w:val="21"/>
                <w:lang w:val="en-US" w:eastAsia="zh-CN"/>
              </w:rPr>
              <w:t>15223715678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水利服务中心</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徐家宜</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13594435906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人居环境服务中心</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江智华</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18184708797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水利服务中心</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张杰</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15870481055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人居环境服务中心</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李壮</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18523653555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520" w:type="dxa"/>
            <w:gridSpan w:val="5"/>
            <w:noWrap w:val="0"/>
            <w:vAlign w:val="center"/>
          </w:tcPr>
          <w:p>
            <w:pPr>
              <w:pageBreakBefore w:val="0"/>
              <w:widowControl w:val="0"/>
              <w:kinsoku/>
              <w:wordWrap/>
              <w:overflowPunct/>
              <w:topLinePunct w:val="0"/>
              <w:autoSpaceDE w:val="0"/>
              <w:autoSpaceDN w:val="0"/>
              <w:bidi w:val="0"/>
              <w:spacing w:line="360" w:lineRule="auto"/>
              <w:ind w:left="0" w:leftChars="0"/>
              <w:jc w:val="left"/>
              <w:textAlignment w:val="auto"/>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应急值班电话：</w:t>
            </w:r>
            <w:r>
              <w:rPr>
                <w:rFonts w:hint="eastAsia" w:ascii="宋体" w:hAnsi="宋体" w:cs="宋体"/>
                <w:color w:val="auto"/>
                <w:kern w:val="0"/>
                <w:sz w:val="21"/>
                <w:szCs w:val="21"/>
                <w:lang w:val="en-US" w:eastAsia="zh-CN"/>
              </w:rPr>
              <w:t>023-52700100                                         （政府值班室）</w:t>
            </w:r>
          </w:p>
        </w:tc>
      </w:tr>
    </w:tbl>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bookmarkStart w:id="80" w:name="_Toc6076"/>
      <w:r>
        <w:rPr>
          <w:rFonts w:hint="eastAsia" w:asciiTheme="minorEastAsia" w:hAnsiTheme="minorEastAsia" w:eastAsiaTheme="minorEastAsia" w:cstheme="minorEastAsia"/>
          <w:b/>
          <w:bCs/>
          <w:sz w:val="28"/>
          <w:szCs w:val="28"/>
          <w:lang w:val="en-US" w:eastAsia="zh-CN"/>
        </w:rPr>
        <w:t>附件三：外部救援机构联系电话</w:t>
      </w:r>
      <w:bookmarkEnd w:id="80"/>
    </w:p>
    <w:tbl>
      <w:tblPr>
        <w:tblStyle w:val="14"/>
        <w:tblW w:w="891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1995"/>
        <w:gridCol w:w="2273"/>
        <w:gridCol w:w="22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部门单位</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联系方式</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传真</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开州区人民政府</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023-52255600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开州区公安局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023-52124110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开州区应急管理局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023-52999332</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023-52288020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开州区生态环境局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023-52116111</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023-52218800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开州区水利局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023-52222196</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023-85926000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开州区城市管理局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023-52688003</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铁桥镇人民政府</w:t>
            </w:r>
          </w:p>
        </w:tc>
        <w:tc>
          <w:tcPr>
            <w:tcW w:w="1995"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023-52700100</w:t>
            </w: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6" w:hRule="atLeast"/>
          <w:jc w:val="center"/>
        </w:trPr>
        <w:tc>
          <w:tcPr>
            <w:tcW w:w="2377"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铁桥派出所</w:t>
            </w:r>
          </w:p>
        </w:tc>
        <w:tc>
          <w:tcPr>
            <w:tcW w:w="1995"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023-52700156</w:t>
            </w: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6" w:hRule="atLeast"/>
          <w:jc w:val="center"/>
        </w:trPr>
        <w:tc>
          <w:tcPr>
            <w:tcW w:w="2377"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宋体" w:hAnsi="宋体" w:eastAsia="宋体" w:cs="宋体"/>
                <w:color w:val="auto"/>
                <w:sz w:val="21"/>
                <w:szCs w:val="21"/>
              </w:rPr>
              <w:t>谭代国</w:t>
            </w:r>
          </w:p>
        </w:tc>
        <w:tc>
          <w:tcPr>
            <w:tcW w:w="1995"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宋体" w:hAnsi="宋体" w:eastAsia="宋体" w:cs="宋体"/>
                <w:color w:val="auto"/>
                <w:sz w:val="21"/>
                <w:szCs w:val="21"/>
              </w:rPr>
              <w:t>15923875737</w:t>
            </w: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sz w:val="21"/>
                <w:szCs w:val="21"/>
                <w:lang w:val="en-US" w:eastAsia="zh-CN"/>
              </w:rPr>
            </w:pPr>
            <w:r>
              <w:rPr>
                <w:rFonts w:hint="eastAsia" w:ascii="宋体" w:hAnsi="宋体" w:eastAsia="宋体" w:cs="宋体"/>
                <w:color w:val="auto"/>
                <w:sz w:val="21"/>
                <w:szCs w:val="21"/>
                <w:lang w:val="en-US" w:eastAsia="zh-CN"/>
              </w:rPr>
              <w:t>万塘水库</w:t>
            </w:r>
            <w:r>
              <w:rPr>
                <w:rFonts w:hint="eastAsia" w:asciiTheme="minorEastAsia" w:hAnsiTheme="minorEastAsia" w:eastAsiaTheme="minorEastAsia" w:cstheme="minorEastAsia"/>
                <w:sz w:val="21"/>
                <w:szCs w:val="21"/>
                <w:lang w:val="en-US" w:eastAsia="zh-CN"/>
              </w:rPr>
              <w:t>管理人员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color w:val="auto"/>
                <w:sz w:val="21"/>
                <w:szCs w:val="21"/>
                <w:lang w:val="en-US" w:eastAsia="zh-CN"/>
              </w:rPr>
            </w:pPr>
            <w:r>
              <w:rPr>
                <w:rFonts w:hint="eastAsia" w:ascii="宋体" w:hAnsi="宋体" w:eastAsia="宋体" w:cs="宋体"/>
                <w:color w:val="auto"/>
                <w:sz w:val="21"/>
                <w:szCs w:val="21"/>
                <w:lang w:val="en-US" w:eastAsia="zh-CN"/>
              </w:rPr>
              <w:t>陈亮</w:t>
            </w:r>
          </w:p>
        </w:tc>
        <w:tc>
          <w:tcPr>
            <w:tcW w:w="1995"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13996537076</w:t>
            </w: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r>
              <w:rPr>
                <w:rFonts w:hint="eastAsia" w:ascii="宋体" w:hAnsi="宋体" w:eastAsia="宋体" w:cs="宋体"/>
                <w:color w:val="auto"/>
                <w:sz w:val="21"/>
                <w:szCs w:val="21"/>
                <w:lang w:val="en-US" w:eastAsia="zh-CN"/>
              </w:rPr>
              <w:t>铁桥</w:t>
            </w:r>
            <w:r>
              <w:rPr>
                <w:rFonts w:hint="eastAsia" w:cs="宋体"/>
                <w:color w:val="auto"/>
                <w:sz w:val="21"/>
                <w:szCs w:val="21"/>
                <w:lang w:val="en-US" w:eastAsia="zh-CN"/>
              </w:rPr>
              <w:t>水厂管理员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贺全轩</w:t>
            </w:r>
          </w:p>
        </w:tc>
        <w:tc>
          <w:tcPr>
            <w:tcW w:w="1995"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13594473580</w:t>
            </w: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sz w:val="21"/>
                <w:szCs w:val="21"/>
                <w:lang w:val="en-US" w:eastAsia="zh-CN"/>
              </w:rPr>
            </w:pP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万塘村</w:t>
            </w:r>
            <w:r>
              <w:rPr>
                <w:rFonts w:hint="eastAsia" w:cs="宋体"/>
                <w:color w:val="auto"/>
                <w:sz w:val="21"/>
                <w:szCs w:val="21"/>
                <w:lang w:val="en-US" w:eastAsia="zh-CN"/>
              </w:rPr>
              <w:t>村支部书记，为周边人员联系人</w:t>
            </w:r>
          </w:p>
        </w:tc>
      </w:tr>
    </w:tbl>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zh-CN" w:eastAsia="zh-CN"/>
        </w:rPr>
      </w:pPr>
      <w:bookmarkStart w:id="81" w:name="_Toc26146"/>
      <w:bookmarkStart w:id="82" w:name="_Toc9362"/>
      <w:bookmarkStart w:id="83" w:name="_Toc14510_WPSOffice_Level1"/>
      <w:bookmarkStart w:id="84" w:name="_Toc28802_WPSOffice_Level1"/>
      <w:bookmarkStart w:id="85" w:name="_Toc8102_WPSOffice_Level1"/>
      <w:bookmarkStart w:id="86" w:name="_Toc1225_WPSOffice_Level1"/>
      <w:bookmarkStart w:id="87" w:name="_Toc23327_WPSOffice_Level1"/>
      <w:bookmarkStart w:id="88" w:name="_Toc1600_WPSOffice_Level1"/>
      <w:bookmarkStart w:id="89" w:name="_Toc12136"/>
      <w:r>
        <w:rPr>
          <w:rFonts w:hint="eastAsia" w:asciiTheme="minorEastAsia" w:hAnsiTheme="minorEastAsia" w:eastAsiaTheme="minorEastAsia" w:cstheme="minorEastAsia"/>
          <w:b/>
          <w:bCs/>
          <w:sz w:val="28"/>
          <w:szCs w:val="28"/>
          <w:lang w:val="zh-CN" w:eastAsia="zh-CN"/>
        </w:rPr>
        <w:t>附件</w:t>
      </w:r>
      <w:r>
        <w:rPr>
          <w:rFonts w:hint="eastAsia" w:asciiTheme="minorEastAsia" w:hAnsiTheme="minorEastAsia" w:eastAsiaTheme="minorEastAsia" w:cstheme="minorEastAsia"/>
          <w:b/>
          <w:bCs/>
          <w:sz w:val="28"/>
          <w:szCs w:val="28"/>
          <w:lang w:val="en-US" w:eastAsia="zh-CN"/>
        </w:rPr>
        <w:t>四：</w:t>
      </w:r>
      <w:r>
        <w:rPr>
          <w:rFonts w:hint="eastAsia" w:asciiTheme="minorEastAsia" w:hAnsiTheme="minorEastAsia" w:eastAsiaTheme="minorEastAsia" w:cstheme="minorEastAsia"/>
          <w:b/>
          <w:bCs/>
          <w:sz w:val="28"/>
          <w:szCs w:val="28"/>
          <w:lang w:val="zh-CN" w:eastAsia="zh-CN"/>
        </w:rPr>
        <w:t>应急救援物资一览表</w:t>
      </w:r>
      <w:bookmarkEnd w:id="81"/>
      <w:bookmarkEnd w:id="82"/>
      <w:bookmarkEnd w:id="83"/>
      <w:bookmarkEnd w:id="84"/>
      <w:bookmarkEnd w:id="85"/>
      <w:bookmarkEnd w:id="86"/>
      <w:bookmarkEnd w:id="87"/>
      <w:bookmarkEnd w:id="88"/>
      <w:bookmarkEnd w:id="89"/>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vertAlign w:val="baseline"/>
                <w:lang w:val="en-US" w:eastAsia="zh-CN" w:bidi="zh-CN"/>
              </w:rPr>
            </w:pPr>
            <w:r>
              <w:rPr>
                <w:rFonts w:hint="eastAsia" w:ascii="宋体" w:hAnsi="宋体" w:eastAsia="宋体" w:cs="宋体"/>
                <w:color w:val="auto"/>
                <w:sz w:val="21"/>
                <w:szCs w:val="21"/>
              </w:rPr>
              <w:t>序号</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vertAlign w:val="baseline"/>
                <w:lang w:val="en-US" w:eastAsia="zh-CN" w:bidi="zh-CN"/>
              </w:rPr>
            </w:pPr>
            <w:r>
              <w:rPr>
                <w:rFonts w:hint="eastAsia" w:ascii="宋体" w:hAnsi="宋体" w:eastAsia="宋体" w:cs="宋体"/>
                <w:color w:val="auto"/>
                <w:sz w:val="21"/>
                <w:szCs w:val="21"/>
              </w:rPr>
              <w:t>名称</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pacing w:val="-5"/>
                <w:sz w:val="21"/>
                <w:szCs w:val="21"/>
                <w:lang w:val="en-US" w:eastAsia="zh-CN" w:bidi="zh-CN"/>
              </w:rPr>
            </w:pPr>
            <w:r>
              <w:rPr>
                <w:rFonts w:hint="eastAsia" w:ascii="宋体" w:hAnsi="宋体" w:eastAsia="宋体" w:cs="宋体"/>
                <w:color w:val="auto"/>
                <w:spacing w:val="-5"/>
                <w:sz w:val="21"/>
                <w:szCs w:val="21"/>
              </w:rPr>
              <w:t>数量（套/张/个）</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pacing w:val="-5"/>
                <w:sz w:val="21"/>
                <w:szCs w:val="21"/>
                <w:lang w:val="en-US" w:eastAsia="zh-CN" w:bidi="zh-CN"/>
              </w:rPr>
            </w:pPr>
            <w:r>
              <w:rPr>
                <w:rFonts w:hint="eastAsia" w:ascii="宋体" w:hAnsi="宋体" w:eastAsia="宋体" w:cs="宋体"/>
                <w:color w:val="auto"/>
                <w:spacing w:val="-5"/>
                <w:sz w:val="21"/>
                <w:szCs w:val="21"/>
                <w:lang w:val="en-US" w:eastAsia="zh-CN"/>
              </w:rPr>
              <w:t>存储地点</w:t>
            </w:r>
          </w:p>
        </w:tc>
        <w:tc>
          <w:tcPr>
            <w:tcW w:w="1421"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pacing w:val="-5"/>
                <w:sz w:val="21"/>
                <w:szCs w:val="21"/>
                <w:lang w:val="en-US" w:eastAsia="zh-CN" w:bidi="zh-CN"/>
              </w:rPr>
            </w:pPr>
            <w:r>
              <w:rPr>
                <w:rFonts w:hint="eastAsia" w:ascii="宋体" w:hAnsi="宋体" w:eastAsia="宋体" w:cs="宋体"/>
                <w:color w:val="auto"/>
                <w:spacing w:val="-5"/>
                <w:sz w:val="21"/>
                <w:szCs w:val="21"/>
                <w:lang w:val="en-US" w:eastAsia="zh-CN"/>
              </w:rPr>
              <w:t>责任人</w:t>
            </w:r>
          </w:p>
        </w:tc>
        <w:tc>
          <w:tcPr>
            <w:tcW w:w="1421"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pacing w:val="-5"/>
                <w:sz w:val="21"/>
                <w:szCs w:val="21"/>
                <w:lang w:val="en-US" w:eastAsia="zh-CN" w:bidi="zh-CN"/>
              </w:rPr>
            </w:pPr>
            <w:r>
              <w:rPr>
                <w:rFonts w:hint="eastAsia" w:ascii="宋体" w:hAnsi="宋体" w:eastAsia="宋体" w:cs="宋体"/>
                <w:color w:val="auto"/>
                <w:spacing w:val="-5"/>
                <w:sz w:val="21"/>
                <w:szCs w:val="21"/>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1</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袋装棉被</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24袋</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应急办</w:t>
            </w:r>
          </w:p>
        </w:tc>
        <w:tc>
          <w:tcPr>
            <w:tcW w:w="1421"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kern w:val="0"/>
                <w:sz w:val="21"/>
                <w:szCs w:val="21"/>
                <w:lang w:val="en-US" w:eastAsia="zh-CN" w:bidi="zh-CN"/>
              </w:rPr>
            </w:pPr>
            <w:r>
              <w:rPr>
                <w:rFonts w:hint="eastAsia" w:ascii="宋体" w:hAnsi="宋体" w:eastAsia="宋体" w:cs="宋体"/>
                <w:color w:val="auto"/>
                <w:sz w:val="21"/>
                <w:szCs w:val="21"/>
                <w:lang w:val="en-US" w:eastAsia="zh-CN"/>
              </w:rPr>
              <w:t>魏大国</w:t>
            </w:r>
          </w:p>
        </w:tc>
        <w:tc>
          <w:tcPr>
            <w:tcW w:w="1421" w:type="dxa"/>
            <w:vAlign w:val="center"/>
          </w:tcPr>
          <w:p>
            <w:pPr>
              <w:pageBreakBefore w:val="0"/>
              <w:widowControl w:val="0"/>
              <w:kinsoku/>
              <w:wordWrap/>
              <w:overflowPunct/>
              <w:topLinePunct w:val="0"/>
              <w:autoSpaceDE w:val="0"/>
              <w:autoSpaceDN w:val="0"/>
              <w:bidi w:val="0"/>
              <w:spacing w:line="360" w:lineRule="auto"/>
              <w:ind w:left="0" w:leftChars="0" w:right="0" w:rightChars="0"/>
              <w:jc w:val="center"/>
              <w:textAlignment w:val="auto"/>
              <w:rPr>
                <w:rFonts w:hint="default" w:ascii="宋体" w:hAnsi="宋体" w:eastAsia="宋体" w:cs="宋体"/>
                <w:color w:val="auto"/>
                <w:kern w:val="0"/>
                <w:sz w:val="21"/>
                <w:szCs w:val="21"/>
                <w:lang w:val="en-US" w:eastAsia="zh-CN" w:bidi="zh-CN"/>
              </w:rPr>
            </w:pPr>
            <w:r>
              <w:rPr>
                <w:rFonts w:hint="eastAsia" w:ascii="宋体" w:hAnsi="宋体" w:eastAsia="宋体" w:cs="宋体"/>
                <w:color w:val="auto"/>
                <w:sz w:val="21"/>
                <w:szCs w:val="21"/>
                <w:lang w:val="en-US" w:eastAsia="zh-CN"/>
              </w:rPr>
              <w:t>13609443431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2</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枕头</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27袋</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应急办</w:t>
            </w:r>
          </w:p>
        </w:tc>
        <w:tc>
          <w:tcPr>
            <w:tcW w:w="1421"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魏大国</w:t>
            </w:r>
          </w:p>
        </w:tc>
        <w:tc>
          <w:tcPr>
            <w:tcW w:w="1421" w:type="dxa"/>
            <w:vAlign w:val="center"/>
          </w:tcPr>
          <w:p>
            <w:pPr>
              <w:pageBreakBefore w:val="0"/>
              <w:widowControl w:val="0"/>
              <w:kinsoku/>
              <w:wordWrap/>
              <w:overflowPunct/>
              <w:topLinePunct w:val="0"/>
              <w:autoSpaceDE w:val="0"/>
              <w:autoSpaceDN w:val="0"/>
              <w:bidi w:val="0"/>
              <w:spacing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13609443431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3</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散装棉被</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6床</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应急办</w:t>
            </w:r>
          </w:p>
        </w:tc>
        <w:tc>
          <w:tcPr>
            <w:tcW w:w="1421"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魏大国</w:t>
            </w:r>
          </w:p>
        </w:tc>
        <w:tc>
          <w:tcPr>
            <w:tcW w:w="1421" w:type="dxa"/>
            <w:vAlign w:val="center"/>
          </w:tcPr>
          <w:p>
            <w:pPr>
              <w:pageBreakBefore w:val="0"/>
              <w:widowControl w:val="0"/>
              <w:kinsoku/>
              <w:wordWrap/>
              <w:overflowPunct/>
              <w:topLinePunct w:val="0"/>
              <w:autoSpaceDE w:val="0"/>
              <w:autoSpaceDN w:val="0"/>
              <w:bidi w:val="0"/>
              <w:spacing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13609443431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4</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毛毯</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4袋</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应急办</w:t>
            </w:r>
          </w:p>
        </w:tc>
        <w:tc>
          <w:tcPr>
            <w:tcW w:w="1421"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魏大国</w:t>
            </w:r>
          </w:p>
        </w:tc>
        <w:tc>
          <w:tcPr>
            <w:tcW w:w="1421" w:type="dxa"/>
            <w:vAlign w:val="center"/>
          </w:tcPr>
          <w:p>
            <w:pPr>
              <w:pageBreakBefore w:val="0"/>
              <w:widowControl w:val="0"/>
              <w:kinsoku/>
              <w:wordWrap/>
              <w:overflowPunct/>
              <w:topLinePunct w:val="0"/>
              <w:autoSpaceDE w:val="0"/>
              <w:autoSpaceDN w:val="0"/>
              <w:bidi w:val="0"/>
              <w:spacing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13609443431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5</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毛绒四件套</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2套</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应急办</w:t>
            </w:r>
          </w:p>
        </w:tc>
        <w:tc>
          <w:tcPr>
            <w:tcW w:w="1421"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魏大国</w:t>
            </w:r>
          </w:p>
        </w:tc>
        <w:tc>
          <w:tcPr>
            <w:tcW w:w="1421" w:type="dxa"/>
            <w:vAlign w:val="center"/>
          </w:tcPr>
          <w:p>
            <w:pPr>
              <w:pageBreakBefore w:val="0"/>
              <w:widowControl w:val="0"/>
              <w:kinsoku/>
              <w:wordWrap/>
              <w:overflowPunct/>
              <w:topLinePunct w:val="0"/>
              <w:autoSpaceDE w:val="0"/>
              <w:autoSpaceDN w:val="0"/>
              <w:bidi w:val="0"/>
              <w:spacing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13609443431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6</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散装被套</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7件</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应急办</w:t>
            </w:r>
          </w:p>
        </w:tc>
        <w:tc>
          <w:tcPr>
            <w:tcW w:w="1421"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魏大国</w:t>
            </w:r>
          </w:p>
        </w:tc>
        <w:tc>
          <w:tcPr>
            <w:tcW w:w="1421" w:type="dxa"/>
            <w:vAlign w:val="center"/>
          </w:tcPr>
          <w:p>
            <w:pPr>
              <w:pageBreakBefore w:val="0"/>
              <w:widowControl w:val="0"/>
              <w:kinsoku/>
              <w:wordWrap/>
              <w:overflowPunct/>
              <w:topLinePunct w:val="0"/>
              <w:autoSpaceDE w:val="0"/>
              <w:autoSpaceDN w:val="0"/>
              <w:bidi w:val="0"/>
              <w:spacing w:line="360" w:lineRule="auto"/>
              <w:ind w:left="0" w:leftChars="0" w:right="0" w:rightChars="0"/>
              <w:jc w:val="center"/>
              <w:textAlignment w:val="auto"/>
              <w:rPr>
                <w:rFonts w:hint="default"/>
                <w:color w:val="auto"/>
                <w:vertAlign w:val="baseline"/>
                <w:lang w:val="en-US" w:eastAsia="zh-CN"/>
              </w:rPr>
            </w:pPr>
            <w:r>
              <w:rPr>
                <w:rFonts w:hint="eastAsia" w:ascii="宋体" w:hAnsi="宋体" w:eastAsia="宋体" w:cs="宋体"/>
                <w:color w:val="auto"/>
                <w:sz w:val="21"/>
                <w:szCs w:val="21"/>
                <w:lang w:val="en-US" w:eastAsia="zh-CN"/>
              </w:rPr>
              <w:t>13609443431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ascii="宋体" w:hAnsi="宋体" w:eastAsia="宋体" w:cs="宋体"/>
                <w:color w:val="auto"/>
                <w:sz w:val="21"/>
                <w:szCs w:val="21"/>
                <w:lang w:val="en-US" w:eastAsia="zh-CN" w:bidi="zh-CN"/>
              </w:rPr>
            </w:pPr>
            <w:r>
              <w:rPr>
                <w:rFonts w:hint="eastAsia" w:cs="宋体"/>
                <w:color w:val="auto"/>
                <w:sz w:val="21"/>
                <w:szCs w:val="21"/>
                <w:lang w:val="en-US" w:eastAsia="zh-CN" w:bidi="zh-CN"/>
              </w:rPr>
              <w:t>7</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毛巾</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14条</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cs="宋体"/>
                <w:color w:val="auto"/>
                <w:sz w:val="21"/>
                <w:szCs w:val="21"/>
                <w:lang w:val="en-US" w:eastAsia="zh-CN"/>
              </w:rPr>
            </w:pPr>
            <w:r>
              <w:rPr>
                <w:rFonts w:hint="eastAsia" w:ascii="宋体" w:hAnsi="宋体" w:eastAsia="宋体" w:cs="宋体"/>
                <w:color w:val="auto"/>
                <w:sz w:val="21"/>
                <w:szCs w:val="21"/>
                <w:lang w:val="en-US" w:eastAsia="zh-CN"/>
              </w:rPr>
              <w:t>应急办</w:t>
            </w:r>
          </w:p>
        </w:tc>
        <w:tc>
          <w:tcPr>
            <w:tcW w:w="1421"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cs="宋体"/>
                <w:color w:val="auto"/>
                <w:kern w:val="0"/>
                <w:sz w:val="21"/>
                <w:szCs w:val="21"/>
                <w:lang w:val="en-US" w:eastAsia="zh-CN"/>
              </w:rPr>
            </w:pPr>
            <w:r>
              <w:rPr>
                <w:rFonts w:hint="eastAsia" w:ascii="宋体" w:hAnsi="宋体" w:eastAsia="宋体" w:cs="宋体"/>
                <w:color w:val="auto"/>
                <w:sz w:val="21"/>
                <w:szCs w:val="21"/>
                <w:lang w:val="en-US" w:eastAsia="zh-CN"/>
              </w:rPr>
              <w:t>魏大国</w:t>
            </w:r>
          </w:p>
        </w:tc>
        <w:tc>
          <w:tcPr>
            <w:tcW w:w="1421" w:type="dxa"/>
            <w:vAlign w:val="center"/>
          </w:tcPr>
          <w:p>
            <w:pPr>
              <w:pageBreakBefore w:val="0"/>
              <w:widowControl w:val="0"/>
              <w:kinsoku/>
              <w:wordWrap/>
              <w:overflowPunct/>
              <w:topLinePunct w:val="0"/>
              <w:autoSpaceDE w:val="0"/>
              <w:autoSpaceDN w:val="0"/>
              <w:bidi w:val="0"/>
              <w:spacing w:line="360" w:lineRule="auto"/>
              <w:ind w:left="0" w:leftChars="0" w:right="0" w:rightChars="0"/>
              <w:jc w:val="center"/>
              <w:textAlignment w:val="auto"/>
              <w:rPr>
                <w:rFonts w:hint="eastAsia" w:cs="宋体"/>
                <w:color w:val="auto"/>
                <w:kern w:val="0"/>
                <w:sz w:val="21"/>
                <w:szCs w:val="21"/>
                <w:lang w:val="en-US" w:eastAsia="zh-CN"/>
              </w:rPr>
            </w:pPr>
            <w:r>
              <w:rPr>
                <w:rFonts w:hint="eastAsia" w:ascii="宋体" w:hAnsi="宋体" w:eastAsia="宋体" w:cs="宋体"/>
                <w:color w:val="auto"/>
                <w:sz w:val="21"/>
                <w:szCs w:val="21"/>
                <w:lang w:val="en-US" w:eastAsia="zh-CN"/>
              </w:rPr>
              <w:t>13609443431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ascii="宋体" w:hAnsi="宋体" w:eastAsia="宋体" w:cs="宋体"/>
                <w:color w:val="auto"/>
                <w:sz w:val="21"/>
                <w:szCs w:val="21"/>
                <w:lang w:val="en-US" w:eastAsia="zh-CN" w:bidi="zh-CN"/>
              </w:rPr>
            </w:pPr>
            <w:r>
              <w:rPr>
                <w:rFonts w:hint="eastAsia" w:cs="宋体"/>
                <w:color w:val="auto"/>
                <w:sz w:val="21"/>
                <w:szCs w:val="21"/>
                <w:lang w:val="en-US" w:eastAsia="zh-CN" w:bidi="zh-CN"/>
              </w:rPr>
              <w:t>8</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四件套</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15套</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cs="宋体"/>
                <w:color w:val="auto"/>
                <w:sz w:val="21"/>
                <w:szCs w:val="21"/>
                <w:lang w:val="en-US" w:eastAsia="zh-CN"/>
              </w:rPr>
            </w:pPr>
            <w:r>
              <w:rPr>
                <w:rFonts w:hint="eastAsia" w:ascii="宋体" w:hAnsi="宋体" w:eastAsia="宋体" w:cs="宋体"/>
                <w:color w:val="auto"/>
                <w:sz w:val="21"/>
                <w:szCs w:val="21"/>
                <w:lang w:val="en-US" w:eastAsia="zh-CN"/>
              </w:rPr>
              <w:t>应急办</w:t>
            </w:r>
          </w:p>
        </w:tc>
        <w:tc>
          <w:tcPr>
            <w:tcW w:w="1421"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cs="宋体"/>
                <w:color w:val="auto"/>
                <w:kern w:val="0"/>
                <w:sz w:val="21"/>
                <w:szCs w:val="21"/>
                <w:lang w:val="en-US" w:eastAsia="zh-CN"/>
              </w:rPr>
            </w:pPr>
            <w:r>
              <w:rPr>
                <w:rFonts w:hint="eastAsia" w:ascii="宋体" w:hAnsi="宋体" w:eastAsia="宋体" w:cs="宋体"/>
                <w:color w:val="auto"/>
                <w:sz w:val="21"/>
                <w:szCs w:val="21"/>
                <w:lang w:val="en-US" w:eastAsia="zh-CN"/>
              </w:rPr>
              <w:t>魏大国</w:t>
            </w:r>
          </w:p>
        </w:tc>
        <w:tc>
          <w:tcPr>
            <w:tcW w:w="1421" w:type="dxa"/>
            <w:vAlign w:val="center"/>
          </w:tcPr>
          <w:p>
            <w:pPr>
              <w:pageBreakBefore w:val="0"/>
              <w:widowControl w:val="0"/>
              <w:kinsoku/>
              <w:wordWrap/>
              <w:overflowPunct/>
              <w:topLinePunct w:val="0"/>
              <w:autoSpaceDE w:val="0"/>
              <w:autoSpaceDN w:val="0"/>
              <w:bidi w:val="0"/>
              <w:spacing w:line="360" w:lineRule="auto"/>
              <w:ind w:left="0" w:leftChars="0" w:right="0" w:rightChars="0"/>
              <w:jc w:val="center"/>
              <w:textAlignment w:val="auto"/>
              <w:rPr>
                <w:rFonts w:hint="eastAsia" w:cs="宋体"/>
                <w:color w:val="auto"/>
                <w:kern w:val="0"/>
                <w:sz w:val="21"/>
                <w:szCs w:val="21"/>
                <w:lang w:val="en-US" w:eastAsia="zh-CN"/>
              </w:rPr>
            </w:pPr>
            <w:r>
              <w:rPr>
                <w:rFonts w:hint="eastAsia" w:ascii="宋体" w:hAnsi="宋体" w:eastAsia="宋体" w:cs="宋体"/>
                <w:color w:val="auto"/>
                <w:sz w:val="21"/>
                <w:szCs w:val="21"/>
                <w:lang w:val="en-US" w:eastAsia="zh-CN"/>
              </w:rPr>
              <w:t>13609443431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ascii="宋体" w:hAnsi="宋体" w:eastAsia="宋体" w:cs="宋体"/>
                <w:color w:val="auto"/>
                <w:sz w:val="21"/>
                <w:szCs w:val="21"/>
                <w:lang w:val="en-US" w:eastAsia="zh-CN" w:bidi="zh-CN"/>
              </w:rPr>
            </w:pPr>
            <w:r>
              <w:rPr>
                <w:rFonts w:hint="eastAsia" w:cs="宋体"/>
                <w:color w:val="auto"/>
                <w:sz w:val="21"/>
                <w:szCs w:val="21"/>
                <w:lang w:val="en-US" w:eastAsia="zh-CN" w:bidi="zh-CN"/>
              </w:rPr>
              <w:t>9</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散装棉大衣</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rPr>
              <w:t>3件</w:t>
            </w:r>
          </w:p>
        </w:tc>
        <w:tc>
          <w:tcPr>
            <w:tcW w:w="1420"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cs="宋体"/>
                <w:color w:val="auto"/>
                <w:sz w:val="21"/>
                <w:szCs w:val="21"/>
                <w:lang w:val="en-US" w:eastAsia="zh-CN"/>
              </w:rPr>
            </w:pPr>
            <w:r>
              <w:rPr>
                <w:rFonts w:hint="eastAsia" w:ascii="宋体" w:hAnsi="宋体" w:eastAsia="宋体" w:cs="宋体"/>
                <w:color w:val="auto"/>
                <w:sz w:val="21"/>
                <w:szCs w:val="21"/>
                <w:lang w:val="en-US" w:eastAsia="zh-CN"/>
              </w:rPr>
              <w:t>应急办</w:t>
            </w:r>
          </w:p>
        </w:tc>
        <w:tc>
          <w:tcPr>
            <w:tcW w:w="1421"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cs="宋体"/>
                <w:color w:val="auto"/>
                <w:kern w:val="0"/>
                <w:sz w:val="21"/>
                <w:szCs w:val="21"/>
                <w:lang w:val="en-US" w:eastAsia="zh-CN"/>
              </w:rPr>
            </w:pPr>
            <w:r>
              <w:rPr>
                <w:rFonts w:hint="eastAsia" w:ascii="宋体" w:hAnsi="宋体" w:eastAsia="宋体" w:cs="宋体"/>
                <w:color w:val="auto"/>
                <w:sz w:val="21"/>
                <w:szCs w:val="21"/>
                <w:lang w:val="en-US" w:eastAsia="zh-CN"/>
              </w:rPr>
              <w:t>魏大国</w:t>
            </w:r>
          </w:p>
        </w:tc>
        <w:tc>
          <w:tcPr>
            <w:tcW w:w="1421" w:type="dxa"/>
            <w:vAlign w:val="center"/>
          </w:tcPr>
          <w:p>
            <w:pPr>
              <w:pageBreakBefore w:val="0"/>
              <w:widowControl w:val="0"/>
              <w:kinsoku/>
              <w:wordWrap/>
              <w:overflowPunct/>
              <w:topLinePunct w:val="0"/>
              <w:autoSpaceDE w:val="0"/>
              <w:autoSpaceDN w:val="0"/>
              <w:bidi w:val="0"/>
              <w:spacing w:line="360" w:lineRule="auto"/>
              <w:ind w:left="0" w:leftChars="0" w:right="0" w:rightChars="0"/>
              <w:jc w:val="center"/>
              <w:textAlignment w:val="auto"/>
              <w:rPr>
                <w:rFonts w:hint="eastAsia" w:cs="宋体"/>
                <w:color w:val="auto"/>
                <w:kern w:val="0"/>
                <w:sz w:val="21"/>
                <w:szCs w:val="21"/>
                <w:lang w:val="en-US" w:eastAsia="zh-CN"/>
              </w:rPr>
            </w:pPr>
            <w:r>
              <w:rPr>
                <w:rFonts w:hint="eastAsia" w:ascii="宋体" w:hAnsi="宋体" w:eastAsia="宋体" w:cs="宋体"/>
                <w:color w:val="auto"/>
                <w:sz w:val="21"/>
                <w:szCs w:val="21"/>
                <w:lang w:val="en-US" w:eastAsia="zh-CN"/>
              </w:rPr>
              <w:t>13609443431</w:t>
            </w:r>
          </w:p>
        </w:tc>
      </w:tr>
    </w:tbl>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sz w:val="28"/>
          <w:szCs w:val="28"/>
          <w:lang w:val="zh-CN"/>
        </w:rPr>
        <w:sectPr>
          <w:headerReference r:id="rId10" w:type="default"/>
          <w:footerReference r:id="rId11" w:type="default"/>
          <w:pgSz w:w="11906" w:h="16838"/>
          <w:pgMar w:top="1440" w:right="1800" w:bottom="1440" w:left="1800" w:header="851" w:footer="992" w:gutter="0"/>
          <w:pgNumType w:fmt="decimal"/>
          <w:cols w:space="425" w:num="1"/>
          <w:docGrid w:type="lines" w:linePitch="312" w:charSpace="0"/>
        </w:sect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spacing w:line="240" w:lineRule="exact"/>
        <w:outlineLvl w:val="2"/>
        <w:rPr>
          <w:rFonts w:ascii="Times New Roman" w:eastAsia="方正仿宋_GBK"/>
          <w:sz w:val="28"/>
          <w:szCs w:val="28"/>
        </w:rPr>
      </w:pPr>
    </w:p>
    <w:p>
      <w:pPr>
        <w:pStyle w:val="8"/>
        <w:spacing w:line="600" w:lineRule="exact"/>
        <w:ind w:leftChars="72" w:firstLine="140" w:firstLineChars="50"/>
        <w:rPr>
          <w:rFonts w:ascii="Times New Roman" w:hAnsi="Times New Roman" w:eastAsia="方正仿宋_GBK"/>
          <w:sz w:val="28"/>
          <w:szCs w:val="28"/>
        </w:rPr>
      </w:pPr>
      <w:r>
        <w:rPr>
          <w:rFonts w:hint="eastAsia" w:ascii="Times New Roman" w:eastAsia="方正仿宋_GBK" w:cs="Times New Roman"/>
          <w:sz w:val="28"/>
          <w:szCs w:val="28"/>
          <w:lang w:val="en-US" w:eastAsia="zh-CN"/>
        </w:rPr>
        <w:t>重庆市开州区铁桥镇党政办公室</w:t>
      </w:r>
      <w:r>
        <w:rPr>
          <w:rFonts w:ascii="Calibri" w:hAnsi="Calibri" w:eastAsia="黑体"/>
          <w:sz w:val="28"/>
          <w:szCs w:val="28"/>
          <w:u w:val="single"/>
        </w:rPr>
        <mc:AlternateContent>
          <mc:Choice Requires="wps">
            <w:drawing>
              <wp:anchor distT="0" distB="0" distL="114300" distR="114300" simplePos="0" relativeHeight="252620800" behindDoc="0" locked="0" layoutInCell="1" allowOverlap="1">
                <wp:simplePos x="0" y="0"/>
                <wp:positionH relativeFrom="column">
                  <wp:posOffset>50800</wp:posOffset>
                </wp:positionH>
                <wp:positionV relativeFrom="paragraph">
                  <wp:posOffset>412115</wp:posOffset>
                </wp:positionV>
                <wp:extent cx="560197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60197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pt;margin-top:32.45pt;height:0pt;width:441.1pt;z-index:252620800;mso-width-relative:page;mso-height-relative:page;" filled="f" stroked="t" coordsize="21600,21600" o:gfxdata="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NUC+3VAAAABwEAAA8AAAAAAAAAAQAgAAAAIgAAAGRycy9kb3ducmV2LnhtbFBL&#10;AQIUABQAAAAIAIdO4kABXboI+QEAAPIDAAAOAAAAAAAAAAEAIAAAACQBAABkcnMvZTJvRG9jLnht&#10;bFBLBQYAAAAABgAGAFkBAACPBQAAAAA=&#10;">
                <v:fill on="f" focussize="0,0"/>
                <v:stroke color="#000000" joinstyle="round"/>
                <v:imagedata o:title=""/>
                <o:lock v:ext="edit" aspectratio="f"/>
              </v:line>
            </w:pict>
          </mc:Fallback>
        </mc:AlternateContent>
      </w:r>
      <w:r>
        <w:rPr>
          <w:rFonts w:ascii="Times New Roman" w:hAnsi="Calibri" w:eastAsia="方正仿宋_GBK"/>
          <w:spacing w:val="-10"/>
          <w:sz w:val="28"/>
          <w:szCs w:val="28"/>
        </w:rPr>
        <mc:AlternateContent>
          <mc:Choice Requires="wps">
            <w:drawing>
              <wp:anchor distT="0" distB="0" distL="114300" distR="114300" simplePos="0" relativeHeight="252621824" behindDoc="0" locked="0" layoutInCell="1" allowOverlap="1">
                <wp:simplePos x="0" y="0"/>
                <wp:positionH relativeFrom="column">
                  <wp:posOffset>41910</wp:posOffset>
                </wp:positionH>
                <wp:positionV relativeFrom="paragraph">
                  <wp:posOffset>14605</wp:posOffset>
                </wp:positionV>
                <wp:extent cx="5601970" cy="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60197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3pt;margin-top:1.15pt;height:0pt;width:441.1pt;z-index:252621824;mso-width-relative:page;mso-height-relative:page;" filled="f" stroked="t" coordsize="21600,21600" o:gfxdata="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iWL5TRAAAABQEAAA8AAAAAAAAAAQAgAAAAIgAAAGRycy9kb3ducmV2LnhtbFBLAQIU&#10;ABQAAAAIAIdO4kAz/iPa+gEAAPQDAAAOAAAAAAAAAAEAIAAAACABAABkcnMvZTJvRG9jLnhtbFBL&#10;BQYAAAAABgAGAFkBAACMBQAAAAA=&#10;">
                <v:fill on="f" focussize="0,0"/>
                <v:stroke color="#000000" joinstyle="round"/>
                <v:imagedata o:title=""/>
                <o:lock v:ext="edit" aspectratio="f"/>
              </v:line>
            </w:pict>
          </mc:Fallback>
        </mc:AlternateContent>
      </w:r>
      <w:r>
        <w:rPr>
          <w:rFonts w:ascii="Times New Roman" w:hAnsi="Times New Roman" w:eastAsia="方正仿宋_GBK"/>
          <w:sz w:val="28"/>
          <w:szCs w:val="28"/>
        </w:rPr>
        <w:t xml:space="preserve">    </w:t>
      </w:r>
      <w:r>
        <w:rPr>
          <w:rFonts w:hint="eastAsia" w:ascii="Times New Roman" w:hAnsi="Times New Roman" w:eastAsia="方正仿宋_GBK"/>
          <w:sz w:val="28"/>
          <w:szCs w:val="28"/>
        </w:rPr>
        <w:t xml:space="preserve">     </w:t>
      </w:r>
      <w:r>
        <w:rPr>
          <w:rFonts w:ascii="Times New Roman" w:hAnsi="Times New Roman" w:eastAsia="方正仿宋_GBK"/>
          <w:sz w:val="28"/>
          <w:szCs w:val="28"/>
        </w:rPr>
        <w:t>2020年</w:t>
      </w:r>
      <w:r>
        <w:rPr>
          <w:rFonts w:hint="eastAsia" w:ascii="Times New Roman" w:hAnsi="Times New Roman" w:eastAsia="方正仿宋_GBK"/>
          <w:sz w:val="28"/>
          <w:szCs w:val="28"/>
        </w:rPr>
        <w:t>12</w:t>
      </w:r>
      <w:r>
        <w:rPr>
          <w:rFonts w:ascii="Times New Roman" w:hAnsi="Times New Roman" w:eastAsia="方正仿宋_GBK"/>
          <w:sz w:val="28"/>
          <w:szCs w:val="28"/>
        </w:rPr>
        <w:t>月</w:t>
      </w:r>
      <w:r>
        <w:rPr>
          <w:rFonts w:hint="eastAsia" w:ascii="Times New Roman" w:hAnsi="Times New Roman" w:eastAsia="方正仿宋_GBK"/>
          <w:sz w:val="28"/>
          <w:szCs w:val="28"/>
        </w:rPr>
        <w:t>2</w:t>
      </w:r>
      <w:r>
        <w:rPr>
          <w:rFonts w:hint="eastAsia" w:ascii="Times New Roman" w:hAnsi="Times New Roman" w:eastAsia="方正仿宋_GBK"/>
          <w:sz w:val="28"/>
          <w:szCs w:val="28"/>
          <w:lang w:val="en-US" w:eastAsia="zh-CN"/>
        </w:rPr>
        <w:t>4</w:t>
      </w:r>
      <w:r>
        <w:rPr>
          <w:rFonts w:ascii="Times New Roman" w:hAnsi="Times New Roman" w:eastAsia="方正仿宋_GBK"/>
          <w:sz w:val="28"/>
          <w:szCs w:val="28"/>
        </w:rPr>
        <w:t>日印发</w:t>
      </w:r>
    </w:p>
    <w:p>
      <w:pPr>
        <w:pStyle w:val="2"/>
        <w:rPr>
          <w:lang w:bidi="zh-CN"/>
        </w:r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sz w:val="28"/>
          <w:szCs w:val="28"/>
          <w:lang w:val="en-US" w:eastAsia="zh-CN"/>
        </w:rPr>
      </w:pPr>
    </w:p>
    <w:sectPr>
      <w:headerReference r:id="rId12"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altName w:val="Arial Unicode MS"/>
    <w:panose1 w:val="03000509000000000000"/>
    <w:charset w:val="86"/>
    <w:family w:val="auto"/>
    <w:pitch w:val="default"/>
    <w:sig w:usb0="00000000" w:usb1="00000000" w:usb2="0000000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7"/>
        <w:rFonts w:hint="eastAsia"/>
      </w:rPr>
    </w:pPr>
    <w:r>
      <w:fldChar w:fldCharType="begin"/>
    </w:r>
    <w:r>
      <w:rPr>
        <w:rStyle w:val="17"/>
      </w:rPr>
      <w:instrText xml:space="preserve">PAGE  </w:instrText>
    </w:r>
    <w:r>
      <w:fldChar w:fldCharType="end"/>
    </w:r>
  </w:p>
  <w:p>
    <w:pPr>
      <w:pStyle w:val="9"/>
      <w:ind w:right="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fldChar w:fldCharType="begin"/>
    </w:r>
    <w:r>
      <w:instrText xml:space="preserve"> PAGE   \* MERGEFORMAT </w:instrText>
    </w:r>
    <w:r>
      <w:fldChar w:fldCharType="separate"/>
    </w:r>
    <w:r>
      <w:rPr>
        <w:rFonts w:hint="eastAsia"/>
        <w:lang w:val="zh-CN"/>
      </w:rPr>
      <w:t>52</w:t>
    </w:r>
    <w:r>
      <w:rPr>
        <w:rFonts w:hint="eastAsia"/>
        <w:lang w:val="zh-CN"/>
      </w:rPr>
      <w:fldChar w:fldCharType="end"/>
    </w:r>
  </w:p>
  <w:p>
    <w:pPr>
      <w:pStyle w:val="9"/>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jc w:val="center"/>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849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9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default"/>
      </w:rP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hLPQ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bhLPQzAgAAYwQAAA4AAAAAAAAAAQAgAAAAHwEAAGRycy9lMm9Eb2MueG1sUEsF&#10;BgAAAAAGAAYAWQEAAMQFA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hint="eastAsia"/>
      </w:rPr>
    </w:pPr>
    <w:r>
      <w:rPr>
        <w:rFonts w:hint="eastAsia"/>
        <w:lang w:eastAsia="zh-CN"/>
      </w:rPr>
      <w:t>重庆市开州区铁桥镇</w:t>
    </w:r>
    <w:r>
      <w:rPr>
        <w:rFonts w:hint="eastAsia"/>
        <w:lang w:val="en-US" w:eastAsia="zh-CN"/>
      </w:rPr>
      <w:t>饮用水水源地</w:t>
    </w:r>
    <w:r>
      <w:rPr>
        <w:rFonts w:hint="eastAsia"/>
      </w:rPr>
      <w:t>突发环境事件</w:t>
    </w:r>
    <w:r>
      <w:rPr>
        <w:rFonts w:hint="eastAsia"/>
        <w:lang w:eastAsia="zh-CN"/>
      </w:rPr>
      <w:t>应急预案</w:t>
    </w:r>
    <w:r>
      <w:rPr>
        <w:rFonts w:hint="eastAsia"/>
      </w:rPr>
      <w:t>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重庆市开州区铁桥镇</w:t>
    </w:r>
    <w:r>
      <w:rPr>
        <w:rFonts w:hint="eastAsia"/>
        <w:lang w:val="en-US" w:eastAsia="zh-CN"/>
      </w:rPr>
      <w:t>饮用水水源地</w:t>
    </w:r>
    <w:r>
      <w:rPr>
        <w:rFonts w:hint="eastAsia"/>
      </w:rPr>
      <w:t>突发环境事件</w:t>
    </w:r>
    <w:r>
      <w:rPr>
        <w:rFonts w:hint="eastAsia"/>
        <w:lang w:eastAsia="zh-CN"/>
      </w:rPr>
      <w:t>应急预案</w:t>
    </w:r>
    <w:r>
      <w:rPr>
        <w:rFonts w:hint="eastAsia"/>
      </w:rPr>
      <w:t>报告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C88AC2"/>
    <w:multiLevelType w:val="singleLevel"/>
    <w:tmpl w:val="ACC88AC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11771"/>
    <w:rsid w:val="071E1B2B"/>
    <w:rsid w:val="087C10E8"/>
    <w:rsid w:val="09C4425A"/>
    <w:rsid w:val="0B473B80"/>
    <w:rsid w:val="0FC440EE"/>
    <w:rsid w:val="10107C46"/>
    <w:rsid w:val="134F6938"/>
    <w:rsid w:val="19F914D6"/>
    <w:rsid w:val="1A0429D9"/>
    <w:rsid w:val="1DCD087D"/>
    <w:rsid w:val="1E0E1351"/>
    <w:rsid w:val="1E45226A"/>
    <w:rsid w:val="1FD03911"/>
    <w:rsid w:val="22600F0A"/>
    <w:rsid w:val="23A25E6B"/>
    <w:rsid w:val="23B079CB"/>
    <w:rsid w:val="27F27A82"/>
    <w:rsid w:val="2992005D"/>
    <w:rsid w:val="2C6B3B37"/>
    <w:rsid w:val="2FE17238"/>
    <w:rsid w:val="31FC360E"/>
    <w:rsid w:val="337B19E2"/>
    <w:rsid w:val="3A061F28"/>
    <w:rsid w:val="3B3B3935"/>
    <w:rsid w:val="3DBA0AA1"/>
    <w:rsid w:val="418E0B5A"/>
    <w:rsid w:val="45F7311F"/>
    <w:rsid w:val="45FC2A51"/>
    <w:rsid w:val="47BC0206"/>
    <w:rsid w:val="49E9678D"/>
    <w:rsid w:val="4E0917A4"/>
    <w:rsid w:val="4F3A6426"/>
    <w:rsid w:val="5061150F"/>
    <w:rsid w:val="50FC3F54"/>
    <w:rsid w:val="54E702C0"/>
    <w:rsid w:val="55F87B8C"/>
    <w:rsid w:val="5A363FEF"/>
    <w:rsid w:val="5D7D69B0"/>
    <w:rsid w:val="5E173233"/>
    <w:rsid w:val="5EB56B05"/>
    <w:rsid w:val="66AA6796"/>
    <w:rsid w:val="6A9665A8"/>
    <w:rsid w:val="6AEA341C"/>
    <w:rsid w:val="71FE42A5"/>
    <w:rsid w:val="740112B6"/>
    <w:rsid w:val="75BC1BEF"/>
    <w:rsid w:val="76B7003D"/>
    <w:rsid w:val="76C92C35"/>
    <w:rsid w:val="781B478C"/>
    <w:rsid w:val="7D037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qFormat/>
    <w:uiPriority w:val="0"/>
    <w:pPr>
      <w:widowControl/>
      <w:spacing w:before="100" w:beforeAutospacing="1" w:after="100" w:afterAutospacing="1"/>
      <w:jc w:val="left"/>
      <w:outlineLvl w:val="2"/>
    </w:pPr>
    <w:rPr>
      <w:rFonts w:ascii="宋体" w:hAnsi="宋体"/>
      <w:b/>
      <w:bCs/>
      <w:color w:val="272672"/>
      <w:kern w:val="0"/>
      <w:sz w:val="23"/>
      <w:szCs w:val="23"/>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7">
    <w:name w:val="Normal Indent"/>
    <w:basedOn w:val="1"/>
    <w:unhideWhenUsed/>
    <w:qFormat/>
    <w:uiPriority w:val="99"/>
    <w:pPr>
      <w:ind w:firstLine="420" w:firstLineChars="200"/>
    </w:pPr>
  </w:style>
  <w:style w:type="paragraph" w:styleId="8">
    <w:name w:val="Body Text"/>
    <w:basedOn w:val="1"/>
    <w:qFormat/>
    <w:uiPriority w:val="1"/>
    <w:pPr>
      <w:ind w:left="151"/>
    </w:pPr>
    <w:rPr>
      <w:rFonts w:ascii="宋体" w:hAnsi="宋体" w:eastAsia="宋体" w:cs="宋体"/>
      <w:sz w:val="32"/>
      <w:szCs w:val="32"/>
      <w:lang w:val="zh-CN" w:eastAsia="zh-CN" w:bidi="zh-CN"/>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Normal (Web)"/>
    <w:basedOn w:val="1"/>
    <w:qFormat/>
    <w:uiPriority w:val="99"/>
    <w:pPr>
      <w:widowControl/>
      <w:spacing w:before="100" w:beforeAutospacing="1" w:after="100" w:afterAutospacing="1"/>
      <w:jc w:val="left"/>
    </w:pPr>
    <w:rPr>
      <w:rFonts w:ascii="宋体" w:hAnsi="宋体" w:cs="宋体"/>
      <w:color w:val="000000"/>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WPSOffice手动目录 1"/>
    <w:qFormat/>
    <w:uiPriority w:val="0"/>
    <w:rPr>
      <w:rFonts w:ascii="Times New Roman" w:hAnsi="Times New Roman" w:eastAsia="宋体" w:cs="Times New Roman"/>
      <w:lang w:val="en-US" w:eastAsia="zh-CN" w:bidi="ar-SA"/>
    </w:rPr>
  </w:style>
  <w:style w:type="paragraph" w:customStyle="1" w:styleId="19">
    <w:name w:val="环境预案正文"/>
    <w:basedOn w:val="1"/>
    <w:qFormat/>
    <w:uiPriority w:val="0"/>
    <w:pPr>
      <w:tabs>
        <w:tab w:val="left" w:pos="4540"/>
      </w:tabs>
      <w:ind w:firstLine="200" w:firstLineChars="200"/>
    </w:pPr>
    <w:rPr>
      <w:rFonts w:eastAsia="仿宋_GB2312" w:cs="宋体"/>
      <w:sz w:val="28"/>
    </w:rPr>
  </w:style>
  <w:style w:type="paragraph" w:customStyle="1" w:styleId="20">
    <w:name w:val="_Style 1"/>
    <w:basedOn w:val="1"/>
    <w:qFormat/>
    <w:uiPriority w:val="34"/>
    <w:pPr>
      <w:spacing w:line="360" w:lineRule="auto"/>
      <w:ind w:firstLine="420" w:firstLineChars="200"/>
    </w:pPr>
  </w:style>
  <w:style w:type="paragraph" w:customStyle="1" w:styleId="21">
    <w:name w:val="表格"/>
    <w:basedOn w:val="1"/>
    <w:next w:val="1"/>
    <w:qFormat/>
    <w:uiPriority w:val="0"/>
    <w:pPr>
      <w:jc w:val="center"/>
    </w:pPr>
    <w:rPr>
      <w:sz w:val="24"/>
    </w:rPr>
  </w:style>
  <w:style w:type="paragraph" w:customStyle="1" w:styleId="22">
    <w:name w:val="01正文"/>
    <w:basedOn w:val="1"/>
    <w:qFormat/>
    <w:uiPriority w:val="0"/>
    <w:pPr>
      <w:adjustRightInd w:val="0"/>
      <w:snapToGrid w:val="0"/>
      <w:spacing w:line="480" w:lineRule="exact"/>
      <w:ind w:firstLine="520" w:firstLineChars="200"/>
    </w:pPr>
    <w:rPr>
      <w:sz w:val="26"/>
      <w:szCs w:val="26"/>
    </w:rPr>
  </w:style>
  <w:style w:type="paragraph" w:customStyle="1" w:styleId="23">
    <w:name w:val="03表格文字"/>
    <w:basedOn w:val="22"/>
    <w:qFormat/>
    <w:uiPriority w:val="0"/>
    <w:pPr>
      <w:adjustRightInd w:val="0"/>
      <w:snapToGrid w:val="0"/>
      <w:spacing w:line="360" w:lineRule="exact"/>
      <w:jc w:val="center"/>
    </w:pPr>
    <w:rPr>
      <w:sz w:val="22"/>
      <w:szCs w:val="22"/>
    </w:rPr>
  </w:style>
  <w:style w:type="paragraph" w:customStyle="1" w:styleId="24">
    <w:name w:val="报告 标题 2级"/>
    <w:basedOn w:val="1"/>
    <w:next w:val="25"/>
    <w:qFormat/>
    <w:uiPriority w:val="0"/>
    <w:pPr>
      <w:adjustRightInd w:val="0"/>
      <w:snapToGrid w:val="0"/>
      <w:spacing w:line="360" w:lineRule="auto"/>
      <w:jc w:val="left"/>
      <w:outlineLvl w:val="1"/>
    </w:pPr>
    <w:rPr>
      <w:rFonts w:eastAsia="Times New Roman"/>
      <w:b/>
      <w:sz w:val="32"/>
    </w:rPr>
  </w:style>
  <w:style w:type="paragraph" w:customStyle="1" w:styleId="25">
    <w:name w:val="报告 正文"/>
    <w:basedOn w:val="1"/>
    <w:qFormat/>
    <w:uiPriority w:val="0"/>
    <w:pPr>
      <w:adjustRightInd w:val="0"/>
      <w:snapToGrid w:val="0"/>
      <w:spacing w:line="360" w:lineRule="auto"/>
      <w:ind w:firstLine="200" w:firstLineChars="200"/>
    </w:pPr>
    <w:rPr>
      <w:rFonts w:eastAsia="Times New Roman"/>
      <w:sz w:val="24"/>
    </w:rPr>
  </w:style>
  <w:style w:type="paragraph" w:customStyle="1" w:styleId="26">
    <w:name w:val="报告 表名、表头、图名"/>
    <w:basedOn w:val="1"/>
    <w:qFormat/>
    <w:uiPriority w:val="0"/>
    <w:pPr>
      <w:adjustRightInd w:val="0"/>
      <w:snapToGrid w:val="0"/>
      <w:jc w:val="center"/>
    </w:pPr>
    <w:rPr>
      <w:rFonts w:eastAsia="Times New Roman"/>
      <w:b/>
      <w:sz w:val="21"/>
      <w:szCs w:val="21"/>
    </w:rPr>
  </w:style>
  <w:style w:type="paragraph" w:customStyle="1" w:styleId="27">
    <w:name w:val="报告 表中文字"/>
    <w:basedOn w:val="1"/>
    <w:qFormat/>
    <w:uiPriority w:val="0"/>
    <w:pPr>
      <w:adjustRightInd w:val="0"/>
      <w:snapToGrid w:val="0"/>
      <w:jc w:val="center"/>
    </w:pPr>
    <w:rPr>
      <w:rFonts w:eastAsia="Times New Roman"/>
      <w:sz w:val="21"/>
    </w:rPr>
  </w:style>
  <w:style w:type="paragraph" w:customStyle="1" w:styleId="28">
    <w:name w:val="3级标题201695"/>
    <w:basedOn w:val="29"/>
    <w:qFormat/>
    <w:uiPriority w:val="0"/>
    <w:rPr>
      <w:rFonts w:ascii="Times New Roman" w:hAnsi="Times New Roman" w:eastAsia="宋体"/>
      <w:b/>
      <w:kern w:val="0"/>
      <w:sz w:val="28"/>
      <w:szCs w:val="20"/>
    </w:rPr>
  </w:style>
  <w:style w:type="paragraph" w:customStyle="1" w:styleId="29">
    <w:name w:val="2级标题201695"/>
    <w:basedOn w:val="30"/>
    <w:qFormat/>
    <w:uiPriority w:val="0"/>
    <w:rPr>
      <w:sz w:val="30"/>
    </w:rPr>
  </w:style>
  <w:style w:type="paragraph" w:customStyle="1" w:styleId="30">
    <w:name w:val="一级标题201695"/>
    <w:basedOn w:val="1"/>
    <w:qFormat/>
    <w:uiPriority w:val="0"/>
    <w:pPr>
      <w:spacing w:line="360" w:lineRule="auto"/>
      <w:jc w:val="left"/>
    </w:pPr>
    <w:rPr>
      <w:rFonts w:eastAsia="黑体"/>
      <w:sz w:val="32"/>
    </w:rPr>
  </w:style>
  <w:style w:type="paragraph" w:styleId="31">
    <w:name w:val="List Paragraph"/>
    <w:basedOn w:val="1"/>
    <w:qFormat/>
    <w:uiPriority w:val="1"/>
    <w:pPr>
      <w:spacing w:before="168"/>
      <w:ind w:left="151" w:firstLine="631"/>
    </w:pPr>
    <w:rPr>
      <w:rFonts w:ascii="宋体" w:hAnsi="宋体" w:eastAsia="宋体" w:cs="宋体"/>
      <w:lang w:val="zh-CN" w:eastAsia="zh-CN" w:bidi="zh-CN"/>
    </w:rPr>
  </w:style>
  <w:style w:type="paragraph" w:customStyle="1" w:styleId="32">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2020-09-25T01:23:00Z</dcterms:created>
  <dc:creator>Administrator</dc:creator>
  <cp:lastModifiedBy>Administrator</cp:lastModifiedBy>
  <dcterms:modified xsi:type="dcterms:W3CDTF">2020-12-25T01:09:25Z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