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pPr>
    </w:p>
    <w:p>
      <w:pPr>
        <w:spacing w:line="600" w:lineRule="exact"/>
        <w:jc w:val="center"/>
      </w:pPr>
    </w:p>
    <w:p>
      <w:pPr>
        <w:spacing w:line="600" w:lineRule="exact"/>
        <w:jc w:val="center"/>
      </w:pPr>
    </w:p>
    <w:p>
      <w:pPr>
        <w:spacing w:line="600" w:lineRule="exact"/>
        <w:jc w:val="center"/>
      </w:pPr>
    </w:p>
    <w:p>
      <w:r>
        <w:pict>
          <v:shape id="_x0000_i1025" o:spt="136" type="#_x0000_t136" style="height:91.4pt;width:432.65pt;" fillcolor="#FF0000" filled="t" stroked="t" coordsize="21600,21600">
            <v:path/>
            <v:fill on="t" focussize="0,0"/>
            <v:stroke color="#FF0000"/>
            <v:imagedata o:title=""/>
            <o:lock v:ext="edit"/>
            <v:textpath on="t" fitpath="t" trim="t" xscale="f" string="重庆市开州区满月镇人民政府文件" style="font-family:宋体;font-size:60pt;font-weight:bold;v-text-align:center;"/>
            <w10:wrap type="none"/>
            <w10:anchorlock/>
          </v:shape>
        </w:pict>
      </w:r>
    </w:p>
    <w:p>
      <w:pPr>
        <w:spacing w:line="600" w:lineRule="exact"/>
        <w:jc w:val="center"/>
        <w:rPr>
          <w:rFonts w:eastAsia="仿宋_GB2312"/>
          <w:szCs w:val="32"/>
        </w:rPr>
      </w:pPr>
    </w:p>
    <w:p>
      <w:pPr>
        <w:spacing w:line="600" w:lineRule="exact"/>
        <w:jc w:val="center"/>
        <w:rPr>
          <w:rFonts w:ascii="Times New Roman" w:hAnsi="Times New Roman" w:eastAsia="楷体_GB2312"/>
          <w:sz w:val="32"/>
          <w:szCs w:val="32"/>
        </w:rPr>
      </w:pPr>
      <w:r>
        <w:rPr>
          <w:rFonts w:ascii="Times New Roman" w:eastAsia="方正仿宋_GBK"/>
          <w:sz w:val="32"/>
          <w:szCs w:val="32"/>
        </w:rPr>
        <w:t>开州满府</w:t>
      </w:r>
      <w:r>
        <w:rPr>
          <w:rFonts w:hint="eastAsia" w:ascii="Times New Roman" w:eastAsia="方正仿宋_GBK"/>
          <w:sz w:val="32"/>
          <w:szCs w:val="32"/>
        </w:rPr>
        <w:t>发</w:t>
      </w:r>
      <w:r>
        <w:rPr>
          <w:rFonts w:ascii="Times New Roman" w:eastAsia="方正仿宋_GBK"/>
          <w:sz w:val="32"/>
          <w:szCs w:val="32"/>
        </w:rPr>
        <w:t>〔</w:t>
      </w:r>
      <w:r>
        <w:rPr>
          <w:rFonts w:ascii="Times New Roman" w:hAnsi="Times New Roman" w:eastAsia="方正仿宋_GBK"/>
          <w:sz w:val="32"/>
          <w:szCs w:val="32"/>
        </w:rPr>
        <w:t>20</w:t>
      </w:r>
      <w:r>
        <w:rPr>
          <w:rFonts w:hint="eastAsia" w:ascii="Times New Roman" w:hAnsi="Times New Roman" w:eastAsia="方正仿宋_GBK"/>
          <w:sz w:val="32"/>
          <w:szCs w:val="32"/>
        </w:rPr>
        <w:t>20</w:t>
      </w:r>
      <w:r>
        <w:rPr>
          <w:rFonts w:ascii="Times New Roman" w:eastAsia="方正仿宋_GBK"/>
          <w:sz w:val="32"/>
          <w:szCs w:val="32"/>
        </w:rPr>
        <w:t>〕</w:t>
      </w:r>
      <w:r>
        <w:rPr>
          <w:rFonts w:hint="eastAsia" w:ascii="Times New Roman" w:eastAsia="方正仿宋_GBK"/>
          <w:sz w:val="32"/>
          <w:szCs w:val="32"/>
        </w:rPr>
        <w:t>309号</w:t>
      </w:r>
    </w:p>
    <w:p>
      <w:pPr>
        <w:spacing w:line="600" w:lineRule="exact"/>
        <w:jc w:val="center"/>
      </w:pPr>
      <w:r>
        <w:pict>
          <v:line id="_x0000_s2077" o:spid="_x0000_s2077" o:spt="20" style="position:absolute;left:0pt;margin-left:1.5pt;margin-top:5.55pt;height:0.05pt;width:423pt;z-index:251669504;mso-width-relative:page;mso-height-relative:page;" stroked="t" coordsize="21600,21600">
            <v:path arrowok="t"/>
            <v:fill focussize="0,0"/>
            <v:stroke weight="3pt" color="#FF0000"/>
            <v:imagedata o:title=""/>
            <o:lock v:ext="edit"/>
          </v:line>
        </w:pict>
      </w:r>
    </w:p>
    <w:p>
      <w:pPr>
        <w:pStyle w:val="2"/>
        <w:spacing w:line="580" w:lineRule="exact"/>
        <w:jc w:val="center"/>
        <w:rPr>
          <w:rFonts w:ascii="方正仿宋_GBK" w:eastAsia="方正仿宋_GBK"/>
          <w:sz w:val="32"/>
          <w:szCs w:val="32"/>
        </w:rPr>
      </w:pPr>
    </w:p>
    <w:p>
      <w:pPr>
        <w:pStyle w:val="2"/>
        <w:spacing w:line="580" w:lineRule="exact"/>
        <w:jc w:val="center"/>
        <w:rPr>
          <w:rFonts w:ascii="方正小标宋_GBK" w:eastAsia="方正小标宋_GBK"/>
          <w:sz w:val="44"/>
          <w:szCs w:val="44"/>
        </w:rPr>
      </w:pPr>
      <w:r>
        <w:rPr>
          <w:rFonts w:hint="eastAsia" w:ascii="方正小标宋_GBK" w:eastAsia="方正小标宋_GBK"/>
          <w:sz w:val="44"/>
          <w:szCs w:val="44"/>
        </w:rPr>
        <w:t>重庆市开州区满月镇人民政府</w:t>
      </w:r>
    </w:p>
    <w:p>
      <w:pPr>
        <w:pStyle w:val="2"/>
        <w:spacing w:line="580" w:lineRule="exact"/>
        <w:jc w:val="center"/>
        <w:rPr>
          <w:rFonts w:ascii="方正小标宋_GBK" w:eastAsia="方正小标宋_GBK" w:hAnsiTheme="minorEastAsia" w:cstheme="minorEastAsia"/>
          <w:bCs/>
          <w:sz w:val="44"/>
          <w:szCs w:val="44"/>
        </w:rPr>
      </w:pPr>
      <w:r>
        <w:rPr>
          <w:rFonts w:hint="eastAsia" w:ascii="方正小标宋_GBK" w:eastAsia="方正小标宋_GBK"/>
          <w:sz w:val="44"/>
          <w:szCs w:val="44"/>
        </w:rPr>
        <w:t>关于印发《</w:t>
      </w:r>
      <w:r>
        <w:rPr>
          <w:rFonts w:hint="eastAsia" w:ascii="方正小标宋_GBK" w:eastAsia="方正小标宋_GBK" w:hAnsiTheme="minorEastAsia" w:cstheme="minorEastAsia"/>
          <w:bCs/>
          <w:sz w:val="44"/>
          <w:szCs w:val="44"/>
        </w:rPr>
        <w:t>饮用水水源地突发环境事件</w:t>
      </w:r>
    </w:p>
    <w:p>
      <w:pPr>
        <w:pStyle w:val="2"/>
        <w:spacing w:line="580" w:lineRule="exact"/>
        <w:jc w:val="center"/>
        <w:rPr>
          <w:rFonts w:ascii="方正仿宋_GBK" w:eastAsia="方正仿宋_GBK"/>
          <w:sz w:val="32"/>
          <w:szCs w:val="32"/>
        </w:rPr>
      </w:pPr>
      <w:r>
        <w:rPr>
          <w:rFonts w:hint="eastAsia" w:ascii="方正小标宋_GBK" w:eastAsia="方正小标宋_GBK" w:hAnsiTheme="minorEastAsia" w:cstheme="minorEastAsia"/>
          <w:bCs/>
          <w:sz w:val="44"/>
          <w:szCs w:val="44"/>
        </w:rPr>
        <w:t>应急预案</w:t>
      </w:r>
      <w:r>
        <w:rPr>
          <w:rFonts w:hint="eastAsia" w:ascii="方正小标宋_GBK" w:eastAsia="方正小标宋_GBK"/>
          <w:sz w:val="44"/>
          <w:szCs w:val="44"/>
        </w:rPr>
        <w:t>》的通知</w:t>
      </w:r>
    </w:p>
    <w:p>
      <w:pPr>
        <w:pStyle w:val="2"/>
        <w:spacing w:line="580" w:lineRule="exact"/>
        <w:rPr>
          <w:rFonts w:ascii="方正仿宋_GBK" w:eastAsia="方正仿宋_GBK"/>
          <w:sz w:val="32"/>
          <w:szCs w:val="32"/>
        </w:rPr>
      </w:pPr>
    </w:p>
    <w:p>
      <w:pPr>
        <w:pStyle w:val="2"/>
        <w:spacing w:line="580" w:lineRule="exact"/>
        <w:rPr>
          <w:rFonts w:ascii="方正仿宋_GBK" w:eastAsia="方正仿宋_GBK"/>
          <w:sz w:val="32"/>
          <w:szCs w:val="32"/>
        </w:rPr>
      </w:pPr>
      <w:r>
        <w:rPr>
          <w:rFonts w:hint="eastAsia" w:ascii="方正仿宋_GBK" w:eastAsia="方正仿宋_GBK"/>
          <w:sz w:val="32"/>
          <w:szCs w:val="32"/>
        </w:rPr>
        <w:t>各科室站所、各村（居）：</w:t>
      </w:r>
    </w:p>
    <w:p>
      <w:pPr>
        <w:pStyle w:val="2"/>
        <w:spacing w:line="580" w:lineRule="exact"/>
        <w:ind w:firstLine="640" w:firstLineChars="200"/>
        <w:rPr>
          <w:rFonts w:ascii="方正仿宋_GBK" w:eastAsia="方正仿宋_GBK"/>
          <w:sz w:val="32"/>
          <w:szCs w:val="32"/>
        </w:rPr>
      </w:pPr>
      <w:r>
        <w:rPr>
          <w:rFonts w:hint="eastAsia" w:ascii="方正仿宋_GBK" w:eastAsia="方正仿宋_GBK"/>
          <w:sz w:val="32"/>
          <w:szCs w:val="32"/>
        </w:rPr>
        <w:t>现将满月镇关于《</w:t>
      </w:r>
      <w:r>
        <w:rPr>
          <w:rFonts w:hint="eastAsia" w:ascii="方正仿宋_GBK" w:eastAsia="方正仿宋_GBK" w:hAnsiTheme="minorEastAsia" w:cstheme="minorEastAsia"/>
          <w:bCs/>
          <w:sz w:val="32"/>
          <w:szCs w:val="32"/>
        </w:rPr>
        <w:t>饮用水水源地突发环境事件应急预案</w:t>
      </w:r>
      <w:r>
        <w:rPr>
          <w:rFonts w:hint="eastAsia" w:ascii="方正仿宋_GBK" w:eastAsia="方正仿宋_GBK"/>
          <w:sz w:val="32"/>
          <w:szCs w:val="32"/>
        </w:rPr>
        <w:t>》的通知印发给你们，请遵照执行。</w:t>
      </w:r>
    </w:p>
    <w:p>
      <w:pPr>
        <w:pStyle w:val="2"/>
        <w:spacing w:line="580" w:lineRule="exact"/>
        <w:rPr>
          <w:rFonts w:ascii="方正仿宋_GBK" w:eastAsia="方正仿宋_GBK"/>
          <w:sz w:val="32"/>
          <w:szCs w:val="32"/>
        </w:rPr>
      </w:pPr>
    </w:p>
    <w:p>
      <w:pPr>
        <w:pStyle w:val="2"/>
        <w:spacing w:line="580" w:lineRule="exact"/>
        <w:rPr>
          <w:rFonts w:ascii="方正仿宋_GBK" w:eastAsia="方正仿宋_GBK"/>
          <w:sz w:val="32"/>
          <w:szCs w:val="32"/>
        </w:rPr>
      </w:pPr>
    </w:p>
    <w:p>
      <w:pPr>
        <w:pStyle w:val="2"/>
        <w:spacing w:line="580" w:lineRule="exact"/>
        <w:rPr>
          <w:rFonts w:ascii="方正仿宋_GBK" w:eastAsia="方正仿宋_GBK"/>
          <w:sz w:val="32"/>
          <w:szCs w:val="32"/>
        </w:rPr>
      </w:pPr>
    </w:p>
    <w:p>
      <w:pPr>
        <w:pStyle w:val="2"/>
        <w:wordWrap w:val="0"/>
        <w:spacing w:line="580" w:lineRule="exact"/>
        <w:jc w:val="right"/>
        <w:rPr>
          <w:rFonts w:ascii="Times New Roman" w:eastAsia="方正仿宋_GBK" w:cs="Times New Roman"/>
          <w:sz w:val="32"/>
          <w:szCs w:val="32"/>
        </w:rPr>
      </w:pPr>
      <w:r>
        <w:rPr>
          <w:rFonts w:ascii="Times New Roman" w:eastAsia="方正仿宋_GBK" w:cs="Times New Roman"/>
          <w:sz w:val="32"/>
          <w:szCs w:val="32"/>
        </w:rPr>
        <w:t>重庆市开州区满月镇人民政府</w:t>
      </w:r>
      <w:r>
        <w:rPr>
          <w:rFonts w:hint="eastAsia" w:ascii="Times New Roman" w:eastAsia="方正仿宋_GBK" w:cs="Times New Roman"/>
          <w:sz w:val="32"/>
          <w:szCs w:val="32"/>
        </w:rPr>
        <w:t xml:space="preserve">    </w:t>
      </w:r>
    </w:p>
    <w:p>
      <w:pPr>
        <w:pStyle w:val="2"/>
        <w:spacing w:line="580" w:lineRule="exact"/>
        <w:ind w:right="640"/>
        <w:jc w:val="center"/>
        <w:rPr>
          <w:rFonts w:ascii="Times New Roman" w:eastAsia="方正仿宋_GBK" w:cs="Times New Roman"/>
          <w:sz w:val="32"/>
          <w:szCs w:val="32"/>
        </w:rPr>
      </w:pPr>
      <w:r>
        <w:rPr>
          <w:rFonts w:hint="eastAsia" w:ascii="Times New Roman" w:eastAsia="方正仿宋_GBK" w:cs="Times New Roman"/>
          <w:sz w:val="32"/>
          <w:szCs w:val="32"/>
        </w:rPr>
        <w:t xml:space="preserve">                            </w:t>
      </w:r>
      <w:r>
        <w:rPr>
          <w:rFonts w:ascii="Times New Roman" w:eastAsia="方正仿宋_GBK" w:cs="Times New Roman"/>
          <w:sz w:val="32"/>
          <w:szCs w:val="32"/>
        </w:rPr>
        <w:t>2020年12月22日</w:t>
      </w:r>
      <w:r>
        <w:rPr>
          <w:rFonts w:hint="eastAsia" w:ascii="Times New Roman" w:eastAsia="方正仿宋_GBK" w:cs="Times New Roman"/>
          <w:sz w:val="32"/>
          <w:szCs w:val="32"/>
        </w:rPr>
        <w:t xml:space="preserve"> </w:t>
      </w:r>
      <w:r>
        <w:rPr>
          <w:rFonts w:hint="eastAsia" w:ascii="方正仿宋_GBK" w:eastAsia="方正仿宋_GBK" w:hAnsiTheme="minorEastAsia" w:cstheme="minorEastAsia"/>
          <w:bCs/>
          <w:sz w:val="32"/>
          <w:szCs w:val="32"/>
        </w:rPr>
        <w:br w:type="page"/>
      </w:r>
    </w:p>
    <w:p>
      <w:pPr>
        <w:keepNext/>
        <w:keepLines/>
        <w:spacing w:line="360" w:lineRule="auto"/>
        <w:jc w:val="center"/>
        <w:rPr>
          <w:rFonts w:asciiTheme="minorEastAsia" w:hAnsiTheme="minorEastAsia" w:eastAsiaTheme="minorEastAsia" w:cstheme="minorEastAsia"/>
          <w:b/>
          <w:bCs/>
          <w:sz w:val="52"/>
          <w:szCs w:val="52"/>
        </w:rPr>
      </w:pPr>
      <w:r>
        <w:rPr>
          <w:rFonts w:hint="eastAsia" w:asciiTheme="minorEastAsia" w:hAnsiTheme="minorEastAsia" w:eastAsiaTheme="minorEastAsia" w:cstheme="minorEastAsia"/>
          <w:b/>
          <w:bCs/>
          <w:sz w:val="52"/>
          <w:szCs w:val="52"/>
        </w:rPr>
        <w:t>重庆市开州区满月镇</w:t>
      </w:r>
    </w:p>
    <w:p>
      <w:pPr>
        <w:keepNext/>
        <w:keepLines/>
        <w:spacing w:line="360" w:lineRule="auto"/>
        <w:jc w:val="center"/>
        <w:rPr>
          <w:rFonts w:asciiTheme="minorEastAsia" w:hAnsiTheme="minorEastAsia" w:eastAsiaTheme="minorEastAsia" w:cstheme="minorEastAsia"/>
          <w:b/>
          <w:bCs/>
          <w:sz w:val="52"/>
          <w:szCs w:val="52"/>
        </w:rPr>
      </w:pPr>
      <w:r>
        <w:rPr>
          <w:rFonts w:hint="eastAsia" w:asciiTheme="minorEastAsia" w:hAnsiTheme="minorEastAsia" w:eastAsiaTheme="minorEastAsia" w:cstheme="minorEastAsia"/>
          <w:b/>
          <w:bCs/>
          <w:sz w:val="52"/>
          <w:szCs w:val="52"/>
        </w:rPr>
        <w:t>集中式地表水饮用水水源地</w:t>
      </w:r>
    </w:p>
    <w:p>
      <w:pPr>
        <w:keepNext/>
        <w:keepLines/>
        <w:spacing w:line="360" w:lineRule="auto"/>
        <w:jc w:val="center"/>
        <w:rPr>
          <w:rFonts w:asciiTheme="minorEastAsia" w:hAnsiTheme="minorEastAsia" w:eastAsiaTheme="minorEastAsia" w:cstheme="minorEastAsia"/>
          <w:b/>
          <w:bCs/>
          <w:sz w:val="52"/>
          <w:szCs w:val="52"/>
        </w:rPr>
      </w:pPr>
      <w:r>
        <w:rPr>
          <w:rFonts w:hint="eastAsia" w:asciiTheme="minorEastAsia" w:hAnsiTheme="minorEastAsia" w:eastAsiaTheme="minorEastAsia" w:cstheme="minorEastAsia"/>
          <w:b/>
          <w:bCs/>
          <w:sz w:val="52"/>
          <w:szCs w:val="52"/>
        </w:rPr>
        <w:t>突发环境事件应急预案</w:t>
      </w:r>
    </w:p>
    <w:p>
      <w:pPr>
        <w:pStyle w:val="8"/>
        <w:spacing w:line="360" w:lineRule="auto"/>
        <w:ind w:left="0"/>
        <w:rPr>
          <w:rFonts w:asciiTheme="minorEastAsia" w:hAnsiTheme="minorEastAsia" w:eastAsiaTheme="minorEastAsia" w:cstheme="minorEastAsia"/>
          <w:sz w:val="28"/>
          <w:szCs w:val="28"/>
        </w:rPr>
      </w:pPr>
    </w:p>
    <w:p>
      <w:pPr>
        <w:pStyle w:val="8"/>
        <w:spacing w:line="360" w:lineRule="auto"/>
        <w:ind w:left="0"/>
        <w:rPr>
          <w:rFonts w:asciiTheme="minorEastAsia" w:hAnsiTheme="minorEastAsia" w:eastAsiaTheme="minorEastAsia" w:cstheme="minorEastAsia"/>
          <w:sz w:val="28"/>
          <w:szCs w:val="28"/>
        </w:rPr>
      </w:pPr>
    </w:p>
    <w:p>
      <w:pPr>
        <w:pStyle w:val="8"/>
        <w:spacing w:line="360" w:lineRule="auto"/>
        <w:ind w:left="0"/>
        <w:rPr>
          <w:rFonts w:asciiTheme="minorEastAsia" w:hAnsiTheme="minorEastAsia" w:eastAsiaTheme="minorEastAsia" w:cstheme="minorEastAsia"/>
          <w:sz w:val="28"/>
          <w:szCs w:val="28"/>
        </w:rPr>
      </w:pPr>
    </w:p>
    <w:p>
      <w:pPr>
        <w:pStyle w:val="8"/>
        <w:spacing w:line="360" w:lineRule="auto"/>
        <w:ind w:left="0"/>
        <w:rPr>
          <w:rFonts w:asciiTheme="minorEastAsia" w:hAnsiTheme="minorEastAsia" w:eastAsiaTheme="minorEastAsia" w:cstheme="minorEastAsia"/>
          <w:sz w:val="28"/>
          <w:szCs w:val="28"/>
        </w:rPr>
      </w:pPr>
    </w:p>
    <w:p>
      <w:pPr>
        <w:pStyle w:val="8"/>
        <w:spacing w:line="360" w:lineRule="auto"/>
        <w:ind w:left="0"/>
        <w:rPr>
          <w:rFonts w:asciiTheme="minorEastAsia" w:hAnsiTheme="minorEastAsia" w:eastAsiaTheme="minorEastAsia" w:cstheme="minorEastAsia"/>
          <w:sz w:val="28"/>
          <w:szCs w:val="28"/>
        </w:rPr>
      </w:pPr>
    </w:p>
    <w:p>
      <w:pPr>
        <w:pStyle w:val="8"/>
        <w:spacing w:line="360" w:lineRule="auto"/>
        <w:ind w:left="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rPr>
        <w:t xml:space="preserve">                预案编号：MYZYYSYA 2020-1</w:t>
      </w:r>
    </w:p>
    <w:p>
      <w:pPr>
        <w:pStyle w:val="8"/>
        <w:spacing w:line="360" w:lineRule="auto"/>
        <w:ind w:left="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版 本 号：</w:t>
      </w:r>
      <w:r>
        <w:rPr>
          <w:rFonts w:hint="eastAsia" w:asciiTheme="minorEastAsia" w:hAnsiTheme="minorEastAsia" w:eastAsiaTheme="minorEastAsia" w:cstheme="minorEastAsia"/>
          <w:sz w:val="28"/>
          <w:szCs w:val="28"/>
          <w:lang w:val="en-US"/>
        </w:rPr>
        <w:t>2020-1</w:t>
      </w:r>
    </w:p>
    <w:p>
      <w:pPr>
        <w:pStyle w:val="8"/>
        <w:spacing w:line="360" w:lineRule="auto"/>
        <w:ind w:left="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颁布日期：2020年12月</w:t>
      </w:r>
    </w:p>
    <w:p>
      <w:pPr>
        <w:pStyle w:val="8"/>
        <w:spacing w:line="360" w:lineRule="auto"/>
        <w:ind w:left="0"/>
        <w:rPr>
          <w:rFonts w:asciiTheme="minorEastAsia" w:hAnsiTheme="minorEastAsia" w:eastAsiaTheme="minorEastAsia" w:cstheme="minorEastAsia"/>
          <w:sz w:val="28"/>
          <w:szCs w:val="28"/>
        </w:rPr>
      </w:pPr>
    </w:p>
    <w:p>
      <w:pPr>
        <w:pStyle w:val="8"/>
        <w:spacing w:line="360" w:lineRule="auto"/>
        <w:ind w:left="0"/>
        <w:rPr>
          <w:rFonts w:asciiTheme="minorEastAsia" w:hAnsiTheme="minorEastAsia" w:eastAsiaTheme="minorEastAsia" w:cstheme="minorEastAsia"/>
          <w:sz w:val="28"/>
          <w:szCs w:val="28"/>
        </w:rPr>
      </w:pPr>
    </w:p>
    <w:p>
      <w:pPr>
        <w:pStyle w:val="8"/>
        <w:spacing w:line="360" w:lineRule="auto"/>
        <w:ind w:left="0"/>
        <w:rPr>
          <w:rFonts w:asciiTheme="minorEastAsia" w:hAnsiTheme="minorEastAsia" w:eastAsiaTheme="minorEastAsia" w:cstheme="minorEastAsia"/>
          <w:sz w:val="28"/>
          <w:szCs w:val="28"/>
        </w:rPr>
      </w:pPr>
    </w:p>
    <w:p>
      <w:pPr>
        <w:pStyle w:val="8"/>
        <w:spacing w:line="360" w:lineRule="auto"/>
        <w:ind w:left="0"/>
        <w:rPr>
          <w:rFonts w:asciiTheme="minorEastAsia" w:hAnsiTheme="minorEastAsia" w:eastAsiaTheme="minorEastAsia" w:cstheme="minorEastAsia"/>
          <w:sz w:val="28"/>
          <w:szCs w:val="28"/>
        </w:rPr>
      </w:pPr>
    </w:p>
    <w:p>
      <w:pPr>
        <w:pStyle w:val="8"/>
        <w:spacing w:line="360" w:lineRule="auto"/>
        <w:ind w:left="0"/>
        <w:jc w:val="center"/>
        <w:rPr>
          <w:rFonts w:asciiTheme="minorEastAsia" w:hAnsiTheme="minorEastAsia" w:eastAsiaTheme="minorEastAsia" w:cstheme="minorEastAsia"/>
          <w:sz w:val="28"/>
          <w:szCs w:val="28"/>
        </w:rPr>
      </w:pPr>
    </w:p>
    <w:p>
      <w:pPr>
        <w:pStyle w:val="8"/>
        <w:spacing w:line="360" w:lineRule="auto"/>
        <w:ind w:left="0"/>
        <w:jc w:val="center"/>
        <w:rPr>
          <w:rFonts w:asciiTheme="minorEastAsia" w:hAnsiTheme="minorEastAsia" w:eastAsiaTheme="minorEastAsia" w:cstheme="minorEastAsia"/>
          <w:b/>
          <w:bCs/>
          <w:lang w:val="en-US"/>
        </w:rPr>
      </w:pPr>
      <w:r>
        <w:rPr>
          <w:rFonts w:hint="eastAsia" w:asciiTheme="minorEastAsia" w:hAnsiTheme="minorEastAsia" w:eastAsiaTheme="minorEastAsia" w:cstheme="minorEastAsia"/>
          <w:b/>
          <w:bCs/>
        </w:rPr>
        <w:t>重庆市开州区满月镇</w:t>
      </w:r>
      <w:r>
        <w:rPr>
          <w:rFonts w:hint="eastAsia" w:asciiTheme="minorEastAsia" w:hAnsiTheme="minorEastAsia" w:eastAsiaTheme="minorEastAsia" w:cstheme="minorEastAsia"/>
          <w:b/>
          <w:bCs/>
          <w:lang w:val="en-US"/>
        </w:rPr>
        <w:t>人民政府</w:t>
      </w:r>
    </w:p>
    <w:p>
      <w:pPr>
        <w:pStyle w:val="8"/>
        <w:spacing w:line="360" w:lineRule="auto"/>
        <w:ind w:left="0"/>
        <w:jc w:val="center"/>
        <w:rPr>
          <w:rFonts w:asciiTheme="minorEastAsia" w:hAnsiTheme="minorEastAsia" w:eastAsiaTheme="minorEastAsia" w:cstheme="minorEastAsia"/>
          <w:sz w:val="28"/>
          <w:szCs w:val="28"/>
        </w:rPr>
        <w:sectPr>
          <w:footerReference r:id="rId3" w:type="default"/>
          <w:pgSz w:w="11906" w:h="16838"/>
          <w:pgMar w:top="1440" w:right="1440" w:bottom="1440" w:left="1440" w:header="1134" w:footer="992" w:gutter="0"/>
          <w:pgNumType w:start="1"/>
          <w:cols w:space="720" w:num="1"/>
          <w:docGrid w:type="lines" w:linePitch="318" w:charSpace="0"/>
        </w:sectPr>
      </w:pPr>
      <w:r>
        <w:rPr>
          <w:rFonts w:hint="eastAsia" w:asciiTheme="minorEastAsia" w:hAnsiTheme="minorEastAsia" w:eastAsiaTheme="minorEastAsia" w:cstheme="minorEastAsia"/>
          <w:b/>
          <w:bCs/>
          <w:lang w:val="en-US"/>
        </w:rPr>
        <w:t>2020</w:t>
      </w:r>
      <w:r>
        <w:rPr>
          <w:rFonts w:hint="eastAsia" w:asciiTheme="minorEastAsia" w:hAnsiTheme="minorEastAsia" w:eastAsiaTheme="minorEastAsia" w:cstheme="minorEastAsia"/>
          <w:b/>
          <w:bCs/>
        </w:rPr>
        <w:t>年</w:t>
      </w:r>
      <w:r>
        <w:rPr>
          <w:rFonts w:hint="eastAsia" w:asciiTheme="minorEastAsia" w:hAnsiTheme="minorEastAsia" w:eastAsiaTheme="minorEastAsia" w:cstheme="minorEastAsia"/>
          <w:b/>
          <w:bCs/>
          <w:lang w:val="en-US"/>
        </w:rPr>
        <w:t>12</w:t>
      </w:r>
      <w:r>
        <w:rPr>
          <w:rFonts w:hint="eastAsia" w:asciiTheme="minorEastAsia" w:hAnsiTheme="minorEastAsia" w:eastAsiaTheme="minorEastAsia" w:cstheme="minorEastAsia"/>
          <w:b/>
          <w:bCs/>
        </w:rPr>
        <w:t>月</w:t>
      </w:r>
    </w:p>
    <w:p>
      <w:pPr>
        <w:pStyle w:val="8"/>
        <w:spacing w:line="360" w:lineRule="auto"/>
        <w:ind w:left="0"/>
        <w:jc w:val="center"/>
        <w:rPr>
          <w:rFonts w:asciiTheme="minorEastAsia" w:hAnsiTheme="minorEastAsia" w:eastAsiaTheme="minorEastAsia" w:cstheme="minorEastAsia"/>
        </w:rPr>
      </w:pPr>
      <w:r>
        <w:rPr>
          <w:rFonts w:hint="eastAsia" w:asciiTheme="minorEastAsia" w:hAnsiTheme="minorEastAsia" w:eastAsiaTheme="minorEastAsia" w:cstheme="minorEastAsia"/>
        </w:rPr>
        <w:t>目录</w:t>
      </w:r>
    </w:p>
    <w:p>
      <w:pPr>
        <w:pStyle w:val="12"/>
        <w:tabs>
          <w:tab w:val="right" w:leader="dot" w:pos="9026"/>
        </w:tabs>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TOC \o "1-2" \h \u </w:instrText>
      </w:r>
      <w:r>
        <w:rPr>
          <w:rFonts w:hint="eastAsia" w:asciiTheme="minorEastAsia" w:hAnsiTheme="minorEastAsia" w:eastAsiaTheme="minorEastAsia" w:cstheme="minorEastAsia"/>
          <w:sz w:val="28"/>
          <w:szCs w:val="28"/>
        </w:rPr>
        <w:fldChar w:fldCharType="separate"/>
      </w:r>
      <w:r>
        <w:fldChar w:fldCharType="begin"/>
      </w:r>
      <w:r>
        <w:instrText xml:space="preserve"> HYPERLINK \l "_Toc28895" </w:instrText>
      </w:r>
      <w:r>
        <w:fldChar w:fldCharType="separate"/>
      </w:r>
      <w:r>
        <w:rPr>
          <w:rFonts w:hint="eastAsia" w:asciiTheme="minorEastAsia" w:hAnsiTheme="minorEastAsia" w:eastAsiaTheme="minorEastAsia" w:cstheme="minorEastAsia"/>
          <w:bCs/>
          <w:szCs w:val="32"/>
        </w:rPr>
        <w:t>1 总则</w:t>
      </w:r>
      <w:r>
        <w:tab/>
      </w:r>
      <w:r>
        <w:fldChar w:fldCharType="begin"/>
      </w:r>
      <w:r>
        <w:instrText xml:space="preserve"> PAGEREF _Toc28895 </w:instrText>
      </w:r>
      <w:r>
        <w:fldChar w:fldCharType="separate"/>
      </w:r>
      <w:r>
        <w:t>1</w:t>
      </w:r>
      <w:r>
        <w:fldChar w:fldCharType="end"/>
      </w:r>
      <w:r>
        <w:fldChar w:fldCharType="end"/>
      </w:r>
    </w:p>
    <w:p>
      <w:pPr>
        <w:pStyle w:val="13"/>
        <w:tabs>
          <w:tab w:val="right" w:leader="dot" w:pos="9026"/>
        </w:tabs>
      </w:pPr>
      <w:r>
        <w:fldChar w:fldCharType="begin"/>
      </w:r>
      <w:r>
        <w:instrText xml:space="preserve"> HYPERLINK \l "_Toc3803" </w:instrText>
      </w:r>
      <w:r>
        <w:fldChar w:fldCharType="separate"/>
      </w:r>
      <w:r>
        <w:rPr>
          <w:rFonts w:hint="eastAsia" w:asciiTheme="minorEastAsia" w:hAnsiTheme="minorEastAsia" w:eastAsiaTheme="minorEastAsia" w:cstheme="minorEastAsia"/>
          <w:bCs/>
          <w:szCs w:val="28"/>
          <w:lang w:val="zh-CN"/>
        </w:rPr>
        <w:t>1.1 编制目的</w:t>
      </w:r>
      <w:r>
        <w:tab/>
      </w:r>
      <w:r>
        <w:fldChar w:fldCharType="begin"/>
      </w:r>
      <w:r>
        <w:instrText xml:space="preserve"> PAGEREF _Toc3803 </w:instrText>
      </w:r>
      <w:r>
        <w:fldChar w:fldCharType="separate"/>
      </w:r>
      <w:r>
        <w:t>1</w:t>
      </w:r>
      <w:r>
        <w:fldChar w:fldCharType="end"/>
      </w:r>
      <w:r>
        <w:fldChar w:fldCharType="end"/>
      </w:r>
    </w:p>
    <w:p>
      <w:pPr>
        <w:pStyle w:val="13"/>
        <w:tabs>
          <w:tab w:val="right" w:leader="dot" w:pos="9026"/>
        </w:tabs>
      </w:pPr>
      <w:r>
        <w:fldChar w:fldCharType="begin"/>
      </w:r>
      <w:r>
        <w:instrText xml:space="preserve"> HYPERLINK \l "_Toc22398" </w:instrText>
      </w:r>
      <w:r>
        <w:fldChar w:fldCharType="separate"/>
      </w:r>
      <w:r>
        <w:rPr>
          <w:rFonts w:hint="eastAsia" w:asciiTheme="minorEastAsia" w:hAnsiTheme="minorEastAsia" w:eastAsiaTheme="minorEastAsia" w:cstheme="minorEastAsia"/>
          <w:bCs/>
          <w:szCs w:val="28"/>
          <w:lang w:val="zh-CN"/>
        </w:rPr>
        <w:t>1.2 编制依据</w:t>
      </w:r>
      <w:r>
        <w:tab/>
      </w:r>
      <w:r>
        <w:fldChar w:fldCharType="begin"/>
      </w:r>
      <w:r>
        <w:instrText xml:space="preserve"> PAGEREF _Toc22398 </w:instrText>
      </w:r>
      <w:r>
        <w:fldChar w:fldCharType="separate"/>
      </w:r>
      <w:r>
        <w:t>1</w:t>
      </w:r>
      <w:r>
        <w:fldChar w:fldCharType="end"/>
      </w:r>
      <w:r>
        <w:fldChar w:fldCharType="end"/>
      </w:r>
    </w:p>
    <w:p>
      <w:pPr>
        <w:pStyle w:val="13"/>
        <w:tabs>
          <w:tab w:val="right" w:leader="dot" w:pos="9026"/>
        </w:tabs>
      </w:pPr>
      <w:r>
        <w:fldChar w:fldCharType="begin"/>
      </w:r>
      <w:r>
        <w:instrText xml:space="preserve"> HYPERLINK \l "_Toc6721" </w:instrText>
      </w:r>
      <w:r>
        <w:fldChar w:fldCharType="separate"/>
      </w:r>
      <w:r>
        <w:rPr>
          <w:rFonts w:hint="eastAsia" w:asciiTheme="minorEastAsia" w:hAnsiTheme="minorEastAsia" w:eastAsiaTheme="minorEastAsia" w:cstheme="minorEastAsia"/>
          <w:bCs/>
          <w:szCs w:val="28"/>
        </w:rPr>
        <w:t>1.3 适用范围</w:t>
      </w:r>
      <w:r>
        <w:tab/>
      </w:r>
      <w:r>
        <w:fldChar w:fldCharType="begin"/>
      </w:r>
      <w:r>
        <w:instrText xml:space="preserve"> PAGEREF _Toc6721 </w:instrText>
      </w:r>
      <w:r>
        <w:fldChar w:fldCharType="separate"/>
      </w:r>
      <w:r>
        <w:t>3</w:t>
      </w:r>
      <w:r>
        <w:fldChar w:fldCharType="end"/>
      </w:r>
      <w:r>
        <w:fldChar w:fldCharType="end"/>
      </w:r>
    </w:p>
    <w:p>
      <w:pPr>
        <w:pStyle w:val="13"/>
        <w:tabs>
          <w:tab w:val="right" w:leader="dot" w:pos="9026"/>
        </w:tabs>
      </w:pPr>
      <w:r>
        <w:fldChar w:fldCharType="begin"/>
      </w:r>
      <w:r>
        <w:instrText xml:space="preserve"> HYPERLINK \l "_Toc11939" </w:instrText>
      </w:r>
      <w:r>
        <w:fldChar w:fldCharType="separate"/>
      </w:r>
      <w:r>
        <w:rPr>
          <w:rFonts w:hint="eastAsia" w:asciiTheme="minorEastAsia" w:hAnsiTheme="minorEastAsia" w:eastAsiaTheme="minorEastAsia" w:cstheme="minorEastAsia"/>
          <w:bCs/>
          <w:szCs w:val="28"/>
          <w:lang w:val="zh-CN"/>
        </w:rPr>
        <w:t>1.</w:t>
      </w:r>
      <w:r>
        <w:rPr>
          <w:rFonts w:hint="eastAsia" w:asciiTheme="minorEastAsia" w:hAnsiTheme="minorEastAsia" w:eastAsiaTheme="minorEastAsia" w:cstheme="minorEastAsia"/>
          <w:bCs/>
          <w:szCs w:val="28"/>
        </w:rPr>
        <w:t>4</w:t>
      </w:r>
      <w:r>
        <w:rPr>
          <w:rFonts w:hint="eastAsia" w:asciiTheme="minorEastAsia" w:hAnsiTheme="minorEastAsia" w:eastAsiaTheme="minorEastAsia" w:cstheme="minorEastAsia"/>
          <w:bCs/>
          <w:szCs w:val="28"/>
          <w:lang w:val="zh-CN"/>
        </w:rPr>
        <w:t xml:space="preserve"> 应急预案体系</w:t>
      </w:r>
      <w:r>
        <w:tab/>
      </w:r>
      <w:r>
        <w:fldChar w:fldCharType="begin"/>
      </w:r>
      <w:r>
        <w:instrText xml:space="preserve"> PAGEREF _Toc11939 </w:instrText>
      </w:r>
      <w:r>
        <w:fldChar w:fldCharType="separate"/>
      </w:r>
      <w:r>
        <w:t>3</w:t>
      </w:r>
      <w:r>
        <w:fldChar w:fldCharType="end"/>
      </w:r>
      <w:r>
        <w:fldChar w:fldCharType="end"/>
      </w:r>
    </w:p>
    <w:p>
      <w:pPr>
        <w:pStyle w:val="13"/>
        <w:tabs>
          <w:tab w:val="right" w:leader="dot" w:pos="9026"/>
        </w:tabs>
      </w:pPr>
      <w:r>
        <w:fldChar w:fldCharType="begin"/>
      </w:r>
      <w:r>
        <w:instrText xml:space="preserve"> HYPERLINK \l "_Toc880" </w:instrText>
      </w:r>
      <w:r>
        <w:fldChar w:fldCharType="separate"/>
      </w:r>
      <w:r>
        <w:rPr>
          <w:rFonts w:hint="eastAsia" w:asciiTheme="minorEastAsia" w:hAnsiTheme="minorEastAsia" w:eastAsiaTheme="minorEastAsia" w:cstheme="minorEastAsia"/>
          <w:bCs/>
          <w:szCs w:val="28"/>
          <w:lang w:val="zh-CN"/>
        </w:rPr>
        <w:t>1.</w:t>
      </w:r>
      <w:r>
        <w:rPr>
          <w:rFonts w:hint="eastAsia" w:asciiTheme="minorEastAsia" w:hAnsiTheme="minorEastAsia" w:eastAsiaTheme="minorEastAsia" w:cstheme="minorEastAsia"/>
          <w:bCs/>
          <w:szCs w:val="28"/>
        </w:rPr>
        <w:t>5</w:t>
      </w:r>
      <w:r>
        <w:rPr>
          <w:rFonts w:hint="eastAsia" w:asciiTheme="minorEastAsia" w:hAnsiTheme="minorEastAsia" w:eastAsiaTheme="minorEastAsia" w:cstheme="minorEastAsia"/>
          <w:bCs/>
          <w:szCs w:val="28"/>
          <w:lang w:val="zh-CN"/>
        </w:rPr>
        <w:t xml:space="preserve"> 工作原则</w:t>
      </w:r>
      <w:r>
        <w:tab/>
      </w:r>
      <w:r>
        <w:fldChar w:fldCharType="begin"/>
      </w:r>
      <w:r>
        <w:instrText xml:space="preserve"> PAGEREF _Toc880 </w:instrText>
      </w:r>
      <w:r>
        <w:fldChar w:fldCharType="separate"/>
      </w:r>
      <w:r>
        <w:t>4</w:t>
      </w:r>
      <w:r>
        <w:fldChar w:fldCharType="end"/>
      </w:r>
      <w:r>
        <w:fldChar w:fldCharType="end"/>
      </w:r>
    </w:p>
    <w:p>
      <w:pPr>
        <w:pStyle w:val="12"/>
        <w:tabs>
          <w:tab w:val="right" w:leader="dot" w:pos="9026"/>
        </w:tabs>
      </w:pPr>
      <w:r>
        <w:fldChar w:fldCharType="begin"/>
      </w:r>
      <w:r>
        <w:instrText xml:space="preserve"> HYPERLINK \l "_Toc5980" </w:instrText>
      </w:r>
      <w:r>
        <w:fldChar w:fldCharType="separate"/>
      </w:r>
      <w:r>
        <w:rPr>
          <w:rFonts w:hint="eastAsia" w:asciiTheme="minorEastAsia" w:hAnsiTheme="minorEastAsia" w:eastAsiaTheme="minorEastAsia" w:cstheme="minorEastAsia"/>
          <w:bCs/>
          <w:szCs w:val="32"/>
        </w:rPr>
        <w:t>2水源地基本信息</w:t>
      </w:r>
      <w:r>
        <w:tab/>
      </w:r>
      <w:r>
        <w:fldChar w:fldCharType="begin"/>
      </w:r>
      <w:r>
        <w:instrText xml:space="preserve"> PAGEREF _Toc5980 </w:instrText>
      </w:r>
      <w:r>
        <w:fldChar w:fldCharType="separate"/>
      </w:r>
      <w:r>
        <w:t>5</w:t>
      </w:r>
      <w:r>
        <w:fldChar w:fldCharType="end"/>
      </w:r>
      <w:r>
        <w:fldChar w:fldCharType="end"/>
      </w:r>
    </w:p>
    <w:p>
      <w:pPr>
        <w:pStyle w:val="13"/>
        <w:tabs>
          <w:tab w:val="right" w:leader="dot" w:pos="9026"/>
        </w:tabs>
      </w:pPr>
      <w:r>
        <w:fldChar w:fldCharType="begin"/>
      </w:r>
      <w:r>
        <w:instrText xml:space="preserve"> HYPERLINK \l "_Toc3086" </w:instrText>
      </w:r>
      <w:r>
        <w:fldChar w:fldCharType="separate"/>
      </w:r>
      <w:r>
        <w:rPr>
          <w:rFonts w:hint="eastAsia" w:asciiTheme="minorEastAsia" w:hAnsiTheme="minorEastAsia" w:eastAsiaTheme="minorEastAsia" w:cstheme="minorEastAsia"/>
          <w:bCs/>
          <w:szCs w:val="28"/>
        </w:rPr>
        <w:t>2.1水源地简介</w:t>
      </w:r>
      <w:r>
        <w:tab/>
      </w:r>
      <w:r>
        <w:fldChar w:fldCharType="begin"/>
      </w:r>
      <w:r>
        <w:instrText xml:space="preserve"> PAGEREF _Toc3086 </w:instrText>
      </w:r>
      <w:r>
        <w:fldChar w:fldCharType="separate"/>
      </w:r>
      <w:r>
        <w:t>5</w:t>
      </w:r>
      <w:r>
        <w:fldChar w:fldCharType="end"/>
      </w:r>
      <w:r>
        <w:fldChar w:fldCharType="end"/>
      </w:r>
    </w:p>
    <w:p>
      <w:pPr>
        <w:pStyle w:val="13"/>
        <w:tabs>
          <w:tab w:val="right" w:leader="dot" w:pos="9026"/>
        </w:tabs>
      </w:pPr>
      <w:r>
        <w:fldChar w:fldCharType="begin"/>
      </w:r>
      <w:r>
        <w:instrText xml:space="preserve"> HYPERLINK \l "_Toc9798" </w:instrText>
      </w:r>
      <w:r>
        <w:fldChar w:fldCharType="separate"/>
      </w:r>
      <w:r>
        <w:rPr>
          <w:rFonts w:hint="eastAsia" w:asciiTheme="minorEastAsia" w:hAnsiTheme="minorEastAsia" w:eastAsiaTheme="minorEastAsia" w:cstheme="minorEastAsia"/>
          <w:bCs/>
          <w:szCs w:val="28"/>
        </w:rPr>
        <w:t>2.2水源地取水情况</w:t>
      </w:r>
      <w:r>
        <w:tab/>
      </w:r>
      <w:r>
        <w:fldChar w:fldCharType="begin"/>
      </w:r>
      <w:r>
        <w:instrText xml:space="preserve"> PAGEREF _Toc9798 </w:instrText>
      </w:r>
      <w:r>
        <w:fldChar w:fldCharType="separate"/>
      </w:r>
      <w:r>
        <w:t>5</w:t>
      </w:r>
      <w:r>
        <w:fldChar w:fldCharType="end"/>
      </w:r>
      <w:r>
        <w:fldChar w:fldCharType="end"/>
      </w:r>
    </w:p>
    <w:p>
      <w:pPr>
        <w:pStyle w:val="13"/>
        <w:tabs>
          <w:tab w:val="right" w:leader="dot" w:pos="9026"/>
        </w:tabs>
      </w:pPr>
      <w:r>
        <w:fldChar w:fldCharType="begin"/>
      </w:r>
      <w:r>
        <w:instrText xml:space="preserve"> HYPERLINK \l "_Toc4522" </w:instrText>
      </w:r>
      <w:r>
        <w:fldChar w:fldCharType="separate"/>
      </w:r>
      <w:r>
        <w:rPr>
          <w:rFonts w:hint="eastAsia" w:asciiTheme="minorEastAsia" w:hAnsiTheme="minorEastAsia" w:eastAsiaTheme="minorEastAsia" w:cstheme="minorEastAsia"/>
          <w:bCs/>
          <w:szCs w:val="28"/>
        </w:rPr>
        <w:t>2.3饮用水水源保护区</w:t>
      </w:r>
      <w:r>
        <w:tab/>
      </w:r>
      <w:r>
        <w:fldChar w:fldCharType="begin"/>
      </w:r>
      <w:r>
        <w:instrText xml:space="preserve"> PAGEREF _Toc4522 </w:instrText>
      </w:r>
      <w:r>
        <w:fldChar w:fldCharType="separate"/>
      </w:r>
      <w:r>
        <w:t>5</w:t>
      </w:r>
      <w:r>
        <w:fldChar w:fldCharType="end"/>
      </w:r>
      <w:r>
        <w:fldChar w:fldCharType="end"/>
      </w:r>
    </w:p>
    <w:p>
      <w:pPr>
        <w:pStyle w:val="13"/>
        <w:tabs>
          <w:tab w:val="right" w:leader="dot" w:pos="9026"/>
        </w:tabs>
      </w:pPr>
      <w:r>
        <w:fldChar w:fldCharType="begin"/>
      </w:r>
      <w:r>
        <w:instrText xml:space="preserve"> HYPERLINK \l "_Toc30858" </w:instrText>
      </w:r>
      <w:r>
        <w:fldChar w:fldCharType="separate"/>
      </w:r>
      <w:r>
        <w:rPr>
          <w:rFonts w:hint="eastAsia" w:asciiTheme="minorEastAsia" w:hAnsiTheme="minorEastAsia" w:eastAsiaTheme="minorEastAsia" w:cstheme="minorEastAsia"/>
          <w:bCs/>
          <w:szCs w:val="28"/>
        </w:rPr>
        <w:t>2.4规范性建设</w:t>
      </w:r>
      <w:r>
        <w:tab/>
      </w:r>
      <w:r>
        <w:fldChar w:fldCharType="begin"/>
      </w:r>
      <w:r>
        <w:instrText xml:space="preserve"> PAGEREF _Toc30858 </w:instrText>
      </w:r>
      <w:r>
        <w:fldChar w:fldCharType="separate"/>
      </w:r>
      <w:r>
        <w:t>6</w:t>
      </w:r>
      <w:r>
        <w:fldChar w:fldCharType="end"/>
      </w:r>
      <w:r>
        <w:fldChar w:fldCharType="end"/>
      </w:r>
    </w:p>
    <w:p>
      <w:pPr>
        <w:pStyle w:val="13"/>
        <w:tabs>
          <w:tab w:val="right" w:leader="dot" w:pos="9026"/>
        </w:tabs>
      </w:pPr>
      <w:r>
        <w:fldChar w:fldCharType="begin"/>
      </w:r>
      <w:r>
        <w:instrText xml:space="preserve"> HYPERLINK \l "_Toc821" </w:instrText>
      </w:r>
      <w:r>
        <w:fldChar w:fldCharType="separate"/>
      </w:r>
      <w:r>
        <w:rPr>
          <w:rFonts w:hint="eastAsia" w:asciiTheme="minorEastAsia" w:hAnsiTheme="minorEastAsia" w:eastAsiaTheme="minorEastAsia" w:cstheme="minorEastAsia"/>
          <w:bCs/>
          <w:szCs w:val="28"/>
        </w:rPr>
        <w:t>2.5水源地环境风险</w:t>
      </w:r>
      <w:r>
        <w:tab/>
      </w:r>
      <w:r>
        <w:fldChar w:fldCharType="begin"/>
      </w:r>
      <w:r>
        <w:instrText xml:space="preserve"> PAGEREF _Toc821 </w:instrText>
      </w:r>
      <w:r>
        <w:fldChar w:fldCharType="separate"/>
      </w:r>
      <w:r>
        <w:t>6</w:t>
      </w:r>
      <w:r>
        <w:fldChar w:fldCharType="end"/>
      </w:r>
      <w:r>
        <w:fldChar w:fldCharType="end"/>
      </w:r>
    </w:p>
    <w:p>
      <w:pPr>
        <w:pStyle w:val="12"/>
        <w:tabs>
          <w:tab w:val="right" w:leader="dot" w:pos="9026"/>
        </w:tabs>
      </w:pPr>
      <w:r>
        <w:fldChar w:fldCharType="begin"/>
      </w:r>
      <w:r>
        <w:instrText xml:space="preserve"> HYPERLINK \l "_Toc13824" </w:instrText>
      </w:r>
      <w:r>
        <w:fldChar w:fldCharType="separate"/>
      </w:r>
      <w:r>
        <w:rPr>
          <w:rFonts w:hint="eastAsia" w:asciiTheme="minorEastAsia" w:hAnsiTheme="minorEastAsia" w:eastAsiaTheme="minorEastAsia" w:cstheme="minorEastAsia"/>
          <w:bCs/>
          <w:szCs w:val="32"/>
        </w:rPr>
        <w:t>3 应急组织指挥体系</w:t>
      </w:r>
      <w:r>
        <w:tab/>
      </w:r>
      <w:r>
        <w:fldChar w:fldCharType="begin"/>
      </w:r>
      <w:r>
        <w:instrText xml:space="preserve"> PAGEREF _Toc13824 </w:instrText>
      </w:r>
      <w:r>
        <w:fldChar w:fldCharType="separate"/>
      </w:r>
      <w:r>
        <w:t>7</w:t>
      </w:r>
      <w:r>
        <w:fldChar w:fldCharType="end"/>
      </w:r>
      <w:r>
        <w:fldChar w:fldCharType="end"/>
      </w:r>
    </w:p>
    <w:p>
      <w:pPr>
        <w:pStyle w:val="13"/>
        <w:tabs>
          <w:tab w:val="right" w:leader="dot" w:pos="9026"/>
        </w:tabs>
      </w:pPr>
      <w:r>
        <w:fldChar w:fldCharType="begin"/>
      </w:r>
      <w:r>
        <w:instrText xml:space="preserve"> HYPERLINK \l "_Toc13101" </w:instrText>
      </w:r>
      <w:r>
        <w:fldChar w:fldCharType="separate"/>
      </w:r>
      <w:r>
        <w:rPr>
          <w:rFonts w:hint="eastAsia" w:asciiTheme="minorEastAsia" w:hAnsiTheme="minorEastAsia" w:eastAsiaTheme="minorEastAsia" w:cstheme="minorEastAsia"/>
          <w:bCs/>
          <w:szCs w:val="28"/>
        </w:rPr>
        <w:t>3.1 应急组织指挥机构</w:t>
      </w:r>
      <w:r>
        <w:tab/>
      </w:r>
      <w:r>
        <w:fldChar w:fldCharType="begin"/>
      </w:r>
      <w:r>
        <w:instrText xml:space="preserve"> PAGEREF _Toc13101 </w:instrText>
      </w:r>
      <w:r>
        <w:fldChar w:fldCharType="separate"/>
      </w:r>
      <w:r>
        <w:t>7</w:t>
      </w:r>
      <w:r>
        <w:fldChar w:fldCharType="end"/>
      </w:r>
      <w:r>
        <w:fldChar w:fldCharType="end"/>
      </w:r>
    </w:p>
    <w:p>
      <w:pPr>
        <w:pStyle w:val="13"/>
        <w:tabs>
          <w:tab w:val="right" w:leader="dot" w:pos="9026"/>
        </w:tabs>
      </w:pPr>
      <w:r>
        <w:fldChar w:fldCharType="begin"/>
      </w:r>
      <w:r>
        <w:instrText xml:space="preserve"> HYPERLINK \l "_Toc4391" </w:instrText>
      </w:r>
      <w:r>
        <w:fldChar w:fldCharType="separate"/>
      </w:r>
      <w:r>
        <w:rPr>
          <w:rFonts w:hint="eastAsia" w:asciiTheme="minorEastAsia" w:hAnsiTheme="minorEastAsia" w:eastAsiaTheme="minorEastAsia" w:cstheme="minorEastAsia"/>
          <w:bCs/>
          <w:szCs w:val="28"/>
        </w:rPr>
        <w:t>3.2各部门常态职责：</w:t>
      </w:r>
      <w:r>
        <w:tab/>
      </w:r>
      <w:r>
        <w:fldChar w:fldCharType="begin"/>
      </w:r>
      <w:r>
        <w:instrText xml:space="preserve"> PAGEREF _Toc4391 </w:instrText>
      </w:r>
      <w:r>
        <w:fldChar w:fldCharType="separate"/>
      </w:r>
      <w:r>
        <w:t>10</w:t>
      </w:r>
      <w:r>
        <w:fldChar w:fldCharType="end"/>
      </w:r>
      <w:r>
        <w:fldChar w:fldCharType="end"/>
      </w:r>
    </w:p>
    <w:p>
      <w:pPr>
        <w:pStyle w:val="12"/>
        <w:tabs>
          <w:tab w:val="right" w:leader="dot" w:pos="9026"/>
        </w:tabs>
      </w:pPr>
      <w:r>
        <w:fldChar w:fldCharType="begin"/>
      </w:r>
      <w:r>
        <w:instrText xml:space="preserve"> HYPERLINK \l "_Toc29735" </w:instrText>
      </w:r>
      <w:r>
        <w:fldChar w:fldCharType="separate"/>
      </w:r>
      <w:r>
        <w:rPr>
          <w:rFonts w:hint="eastAsia" w:asciiTheme="minorEastAsia" w:hAnsiTheme="minorEastAsia" w:eastAsiaTheme="minorEastAsia" w:cstheme="minorEastAsia"/>
          <w:bCs/>
          <w:szCs w:val="32"/>
        </w:rPr>
        <w:t>4应急响应</w:t>
      </w:r>
      <w:r>
        <w:tab/>
      </w:r>
      <w:r>
        <w:fldChar w:fldCharType="begin"/>
      </w:r>
      <w:r>
        <w:instrText xml:space="preserve"> PAGEREF _Toc29735 </w:instrText>
      </w:r>
      <w:r>
        <w:fldChar w:fldCharType="separate"/>
      </w:r>
      <w:r>
        <w:t>12</w:t>
      </w:r>
      <w:r>
        <w:fldChar w:fldCharType="end"/>
      </w:r>
      <w:r>
        <w:fldChar w:fldCharType="end"/>
      </w:r>
    </w:p>
    <w:p>
      <w:pPr>
        <w:pStyle w:val="13"/>
        <w:tabs>
          <w:tab w:val="right" w:leader="dot" w:pos="9026"/>
        </w:tabs>
      </w:pPr>
      <w:r>
        <w:fldChar w:fldCharType="begin"/>
      </w:r>
      <w:r>
        <w:instrText xml:space="preserve"> HYPERLINK \l "_Toc7181" </w:instrText>
      </w:r>
      <w:r>
        <w:fldChar w:fldCharType="separate"/>
      </w:r>
      <w:r>
        <w:rPr>
          <w:rFonts w:hint="eastAsia" w:asciiTheme="minorEastAsia" w:hAnsiTheme="minorEastAsia" w:eastAsiaTheme="minorEastAsia" w:cstheme="minorEastAsia"/>
          <w:bCs/>
          <w:szCs w:val="28"/>
        </w:rPr>
        <w:t>4.1预警</w:t>
      </w:r>
      <w:r>
        <w:tab/>
      </w:r>
      <w:r>
        <w:fldChar w:fldCharType="begin"/>
      </w:r>
      <w:r>
        <w:instrText xml:space="preserve"> PAGEREF _Toc7181 </w:instrText>
      </w:r>
      <w:r>
        <w:fldChar w:fldCharType="separate"/>
      </w:r>
      <w:r>
        <w:t>13</w:t>
      </w:r>
      <w:r>
        <w:fldChar w:fldCharType="end"/>
      </w:r>
      <w:r>
        <w:fldChar w:fldCharType="end"/>
      </w:r>
    </w:p>
    <w:p>
      <w:pPr>
        <w:pStyle w:val="13"/>
        <w:tabs>
          <w:tab w:val="right" w:leader="dot" w:pos="9026"/>
        </w:tabs>
      </w:pPr>
      <w:r>
        <w:fldChar w:fldCharType="begin"/>
      </w:r>
      <w:r>
        <w:instrText xml:space="preserve"> HYPERLINK \l "_Toc6809" </w:instrText>
      </w:r>
      <w:r>
        <w:fldChar w:fldCharType="separate"/>
      </w:r>
      <w:r>
        <w:rPr>
          <w:rFonts w:hint="eastAsia" w:asciiTheme="minorEastAsia" w:hAnsiTheme="minorEastAsia" w:eastAsiaTheme="minorEastAsia" w:cstheme="minorEastAsia"/>
          <w:bCs/>
          <w:szCs w:val="28"/>
        </w:rPr>
        <w:t>4.2</w:t>
      </w:r>
      <w:r>
        <w:rPr>
          <w:rFonts w:hint="eastAsia" w:asciiTheme="minorEastAsia" w:hAnsiTheme="minorEastAsia" w:eastAsiaTheme="minorEastAsia" w:cstheme="minorEastAsia"/>
          <w:bCs/>
          <w:szCs w:val="28"/>
          <w:lang w:val="zh-CN"/>
        </w:rPr>
        <w:t>信息报告与通报</w:t>
      </w:r>
      <w:r>
        <w:tab/>
      </w:r>
      <w:r>
        <w:fldChar w:fldCharType="begin"/>
      </w:r>
      <w:r>
        <w:instrText xml:space="preserve"> PAGEREF _Toc6809 </w:instrText>
      </w:r>
      <w:r>
        <w:fldChar w:fldCharType="separate"/>
      </w:r>
      <w:r>
        <w:t>16</w:t>
      </w:r>
      <w:r>
        <w:fldChar w:fldCharType="end"/>
      </w:r>
      <w:r>
        <w:fldChar w:fldCharType="end"/>
      </w:r>
    </w:p>
    <w:p>
      <w:pPr>
        <w:pStyle w:val="13"/>
        <w:tabs>
          <w:tab w:val="right" w:leader="dot" w:pos="9026"/>
        </w:tabs>
      </w:pPr>
      <w:r>
        <w:fldChar w:fldCharType="begin"/>
      </w:r>
      <w:r>
        <w:instrText xml:space="preserve"> HYPERLINK \l "_Toc16743" </w:instrText>
      </w:r>
      <w:r>
        <w:fldChar w:fldCharType="separate"/>
      </w:r>
      <w:r>
        <w:rPr>
          <w:rFonts w:hint="eastAsia" w:asciiTheme="minorEastAsia" w:hAnsiTheme="minorEastAsia" w:eastAsiaTheme="minorEastAsia" w:cstheme="minorEastAsia"/>
          <w:bCs/>
          <w:szCs w:val="28"/>
        </w:rPr>
        <w:t>4.3</w:t>
      </w:r>
      <w:r>
        <w:rPr>
          <w:rFonts w:hint="eastAsia" w:asciiTheme="minorEastAsia" w:hAnsiTheme="minorEastAsia" w:eastAsiaTheme="minorEastAsia" w:cstheme="minorEastAsia"/>
          <w:bCs/>
          <w:szCs w:val="28"/>
          <w:lang w:val="zh-CN"/>
        </w:rPr>
        <w:t>事态跟踪研判</w:t>
      </w:r>
      <w:r>
        <w:tab/>
      </w:r>
      <w:r>
        <w:fldChar w:fldCharType="begin"/>
      </w:r>
      <w:r>
        <w:instrText xml:space="preserve"> PAGEREF _Toc16743 </w:instrText>
      </w:r>
      <w:r>
        <w:fldChar w:fldCharType="separate"/>
      </w:r>
      <w:r>
        <w:t>19</w:t>
      </w:r>
      <w:r>
        <w:fldChar w:fldCharType="end"/>
      </w:r>
      <w:r>
        <w:fldChar w:fldCharType="end"/>
      </w:r>
    </w:p>
    <w:p>
      <w:pPr>
        <w:pStyle w:val="13"/>
        <w:tabs>
          <w:tab w:val="right" w:leader="dot" w:pos="9026"/>
        </w:tabs>
      </w:pPr>
      <w:r>
        <w:fldChar w:fldCharType="begin"/>
      </w:r>
      <w:r>
        <w:instrText xml:space="preserve"> HYPERLINK \l "_Toc5657" </w:instrText>
      </w:r>
      <w:r>
        <w:fldChar w:fldCharType="separate"/>
      </w:r>
      <w:r>
        <w:rPr>
          <w:rFonts w:hint="eastAsia" w:asciiTheme="minorEastAsia" w:hAnsiTheme="minorEastAsia" w:eastAsiaTheme="minorEastAsia" w:cstheme="minorEastAsia"/>
          <w:bCs/>
          <w:szCs w:val="28"/>
        </w:rPr>
        <w:t>4.4</w:t>
      </w:r>
      <w:r>
        <w:rPr>
          <w:rFonts w:hint="eastAsia" w:asciiTheme="minorEastAsia" w:hAnsiTheme="minorEastAsia" w:eastAsiaTheme="minorEastAsia" w:cstheme="minorEastAsia"/>
          <w:bCs/>
          <w:szCs w:val="28"/>
          <w:lang w:val="zh-CN"/>
        </w:rPr>
        <w:t>应急监测</w:t>
      </w:r>
      <w:r>
        <w:tab/>
      </w:r>
      <w:r>
        <w:fldChar w:fldCharType="begin"/>
      </w:r>
      <w:r>
        <w:instrText xml:space="preserve"> PAGEREF _Toc5657 </w:instrText>
      </w:r>
      <w:r>
        <w:fldChar w:fldCharType="separate"/>
      </w:r>
      <w:r>
        <w:t>19</w:t>
      </w:r>
      <w:r>
        <w:fldChar w:fldCharType="end"/>
      </w:r>
      <w:r>
        <w:fldChar w:fldCharType="end"/>
      </w:r>
    </w:p>
    <w:p>
      <w:pPr>
        <w:pStyle w:val="13"/>
        <w:tabs>
          <w:tab w:val="right" w:leader="dot" w:pos="9026"/>
        </w:tabs>
      </w:pPr>
      <w:r>
        <w:fldChar w:fldCharType="begin"/>
      </w:r>
      <w:r>
        <w:instrText xml:space="preserve"> HYPERLINK \l "_Toc27487" </w:instrText>
      </w:r>
      <w:r>
        <w:fldChar w:fldCharType="separate"/>
      </w:r>
      <w:r>
        <w:rPr>
          <w:rFonts w:hint="eastAsia" w:asciiTheme="minorEastAsia" w:hAnsiTheme="minorEastAsia" w:eastAsiaTheme="minorEastAsia" w:cstheme="minorEastAsia"/>
          <w:bCs/>
          <w:szCs w:val="28"/>
        </w:rPr>
        <w:t>4.5污染</w:t>
      </w:r>
      <w:r>
        <w:rPr>
          <w:rFonts w:hint="eastAsia" w:asciiTheme="minorEastAsia" w:hAnsiTheme="minorEastAsia" w:eastAsiaTheme="minorEastAsia" w:cstheme="minorEastAsia"/>
          <w:bCs/>
          <w:szCs w:val="28"/>
          <w:lang w:val="zh-CN"/>
        </w:rPr>
        <w:t>源排查与处置</w:t>
      </w:r>
      <w:r>
        <w:tab/>
      </w:r>
      <w:r>
        <w:fldChar w:fldCharType="begin"/>
      </w:r>
      <w:r>
        <w:instrText xml:space="preserve"> PAGEREF _Toc27487 </w:instrText>
      </w:r>
      <w:r>
        <w:fldChar w:fldCharType="separate"/>
      </w:r>
      <w:r>
        <w:t>21</w:t>
      </w:r>
      <w:r>
        <w:fldChar w:fldCharType="end"/>
      </w:r>
      <w:r>
        <w:fldChar w:fldCharType="end"/>
      </w:r>
    </w:p>
    <w:p>
      <w:pPr>
        <w:pStyle w:val="13"/>
        <w:tabs>
          <w:tab w:val="right" w:leader="dot" w:pos="9026"/>
        </w:tabs>
      </w:pPr>
      <w:r>
        <w:fldChar w:fldCharType="begin"/>
      </w:r>
      <w:r>
        <w:instrText xml:space="preserve"> HYPERLINK \l "_Toc9578" </w:instrText>
      </w:r>
      <w:r>
        <w:fldChar w:fldCharType="separate"/>
      </w:r>
      <w:r>
        <w:rPr>
          <w:rFonts w:hint="eastAsia" w:asciiTheme="minorEastAsia" w:hAnsiTheme="minorEastAsia" w:eastAsiaTheme="minorEastAsia" w:cstheme="minorEastAsia"/>
          <w:bCs/>
          <w:szCs w:val="28"/>
        </w:rPr>
        <w:t>4.6</w:t>
      </w:r>
      <w:r>
        <w:rPr>
          <w:rFonts w:hint="eastAsia" w:asciiTheme="minorEastAsia" w:hAnsiTheme="minorEastAsia" w:eastAsiaTheme="minorEastAsia" w:cstheme="minorEastAsia"/>
          <w:bCs/>
          <w:szCs w:val="28"/>
          <w:lang w:val="zh-CN"/>
        </w:rPr>
        <w:t>应急处置</w:t>
      </w:r>
      <w:r>
        <w:tab/>
      </w:r>
      <w:r>
        <w:fldChar w:fldCharType="begin"/>
      </w:r>
      <w:r>
        <w:instrText xml:space="preserve"> PAGEREF _Toc9578 </w:instrText>
      </w:r>
      <w:r>
        <w:fldChar w:fldCharType="separate"/>
      </w:r>
      <w:r>
        <w:t>23</w:t>
      </w:r>
      <w:r>
        <w:fldChar w:fldCharType="end"/>
      </w:r>
      <w:r>
        <w:fldChar w:fldCharType="end"/>
      </w:r>
    </w:p>
    <w:p>
      <w:pPr>
        <w:pStyle w:val="13"/>
        <w:tabs>
          <w:tab w:val="right" w:leader="dot" w:pos="9026"/>
        </w:tabs>
      </w:pPr>
      <w:r>
        <w:fldChar w:fldCharType="begin"/>
      </w:r>
      <w:r>
        <w:instrText xml:space="preserve"> HYPERLINK \l "_Toc28134" </w:instrText>
      </w:r>
      <w:r>
        <w:fldChar w:fldCharType="separate"/>
      </w:r>
      <w:r>
        <w:rPr>
          <w:rFonts w:hint="eastAsia" w:asciiTheme="minorEastAsia" w:hAnsiTheme="minorEastAsia" w:eastAsiaTheme="minorEastAsia" w:cstheme="minorEastAsia"/>
          <w:bCs/>
          <w:szCs w:val="28"/>
        </w:rPr>
        <w:t>4.7</w:t>
      </w:r>
      <w:r>
        <w:rPr>
          <w:rFonts w:hint="eastAsia" w:asciiTheme="minorEastAsia" w:hAnsiTheme="minorEastAsia" w:eastAsiaTheme="minorEastAsia" w:cstheme="minorEastAsia"/>
          <w:bCs/>
          <w:szCs w:val="28"/>
          <w:lang w:val="zh-CN"/>
        </w:rPr>
        <w:t>物资调集及应急设施启用</w:t>
      </w:r>
      <w:r>
        <w:tab/>
      </w:r>
      <w:r>
        <w:fldChar w:fldCharType="begin"/>
      </w:r>
      <w:r>
        <w:instrText xml:space="preserve"> PAGEREF _Toc28134 </w:instrText>
      </w:r>
      <w:r>
        <w:fldChar w:fldCharType="separate"/>
      </w:r>
      <w:r>
        <w:t>25</w:t>
      </w:r>
      <w:r>
        <w:fldChar w:fldCharType="end"/>
      </w:r>
      <w:r>
        <w:fldChar w:fldCharType="end"/>
      </w:r>
    </w:p>
    <w:p>
      <w:pPr>
        <w:pStyle w:val="13"/>
        <w:tabs>
          <w:tab w:val="right" w:leader="dot" w:pos="9026"/>
        </w:tabs>
      </w:pPr>
      <w:r>
        <w:fldChar w:fldCharType="begin"/>
      </w:r>
      <w:r>
        <w:instrText xml:space="preserve"> HYPERLINK \l "_Toc1032" </w:instrText>
      </w:r>
      <w:r>
        <w:fldChar w:fldCharType="separate"/>
      </w:r>
      <w:r>
        <w:rPr>
          <w:rFonts w:hint="eastAsia" w:asciiTheme="minorEastAsia" w:hAnsiTheme="minorEastAsia" w:eastAsiaTheme="minorEastAsia" w:cstheme="minorEastAsia"/>
          <w:bCs/>
          <w:szCs w:val="28"/>
        </w:rPr>
        <w:t>4.8</w:t>
      </w:r>
      <w:r>
        <w:rPr>
          <w:rFonts w:hint="eastAsia" w:asciiTheme="minorEastAsia" w:hAnsiTheme="minorEastAsia" w:eastAsiaTheme="minorEastAsia" w:cstheme="minorEastAsia"/>
          <w:bCs/>
          <w:szCs w:val="28"/>
          <w:lang w:val="zh-CN"/>
        </w:rPr>
        <w:t>舆情监测与信息发布</w:t>
      </w:r>
      <w:r>
        <w:tab/>
      </w:r>
      <w:r>
        <w:fldChar w:fldCharType="begin"/>
      </w:r>
      <w:r>
        <w:instrText xml:space="preserve"> PAGEREF _Toc1032 </w:instrText>
      </w:r>
      <w:r>
        <w:fldChar w:fldCharType="separate"/>
      </w:r>
      <w:r>
        <w:t>25</w:t>
      </w:r>
      <w:r>
        <w:fldChar w:fldCharType="end"/>
      </w:r>
      <w:r>
        <w:fldChar w:fldCharType="end"/>
      </w:r>
    </w:p>
    <w:p>
      <w:pPr>
        <w:pStyle w:val="13"/>
        <w:tabs>
          <w:tab w:val="right" w:leader="dot" w:pos="9026"/>
        </w:tabs>
      </w:pPr>
      <w:r>
        <w:fldChar w:fldCharType="begin"/>
      </w:r>
      <w:r>
        <w:instrText xml:space="preserve"> HYPERLINK \l "_Toc14480" </w:instrText>
      </w:r>
      <w:r>
        <w:fldChar w:fldCharType="separate"/>
      </w:r>
      <w:r>
        <w:rPr>
          <w:rFonts w:hint="eastAsia" w:asciiTheme="minorEastAsia" w:hAnsiTheme="minorEastAsia" w:eastAsiaTheme="minorEastAsia" w:cstheme="minorEastAsia"/>
          <w:bCs/>
          <w:szCs w:val="28"/>
        </w:rPr>
        <w:t>4.9响应终</w:t>
      </w:r>
      <w:r>
        <w:rPr>
          <w:rFonts w:hint="eastAsia" w:asciiTheme="minorEastAsia" w:hAnsiTheme="minorEastAsia" w:eastAsiaTheme="minorEastAsia" w:cstheme="minorEastAsia"/>
          <w:bCs/>
          <w:szCs w:val="28"/>
          <w:lang w:val="zh-CN"/>
        </w:rPr>
        <w:t>止</w:t>
      </w:r>
      <w:r>
        <w:tab/>
      </w:r>
      <w:r>
        <w:fldChar w:fldCharType="begin"/>
      </w:r>
      <w:r>
        <w:instrText xml:space="preserve"> PAGEREF _Toc14480 </w:instrText>
      </w:r>
      <w:r>
        <w:fldChar w:fldCharType="separate"/>
      </w:r>
      <w:r>
        <w:t>26</w:t>
      </w:r>
      <w:r>
        <w:fldChar w:fldCharType="end"/>
      </w:r>
      <w:r>
        <w:fldChar w:fldCharType="end"/>
      </w:r>
    </w:p>
    <w:p>
      <w:pPr>
        <w:pStyle w:val="12"/>
        <w:tabs>
          <w:tab w:val="right" w:leader="dot" w:pos="9026"/>
        </w:tabs>
      </w:pPr>
      <w:r>
        <w:fldChar w:fldCharType="begin"/>
      </w:r>
      <w:r>
        <w:instrText xml:space="preserve"> HYPERLINK \l "_Toc9501" </w:instrText>
      </w:r>
      <w:r>
        <w:fldChar w:fldCharType="separate"/>
      </w:r>
      <w:r>
        <w:rPr>
          <w:rFonts w:hint="eastAsia" w:asciiTheme="minorEastAsia" w:hAnsiTheme="minorEastAsia" w:eastAsiaTheme="minorEastAsia" w:cstheme="minorEastAsia"/>
          <w:bCs/>
          <w:szCs w:val="32"/>
        </w:rPr>
        <w:t>5后期工作</w:t>
      </w:r>
      <w:r>
        <w:tab/>
      </w:r>
      <w:r>
        <w:fldChar w:fldCharType="begin"/>
      </w:r>
      <w:r>
        <w:instrText xml:space="preserve"> PAGEREF _Toc9501 </w:instrText>
      </w:r>
      <w:r>
        <w:fldChar w:fldCharType="separate"/>
      </w:r>
      <w:r>
        <w:t>27</w:t>
      </w:r>
      <w:r>
        <w:fldChar w:fldCharType="end"/>
      </w:r>
      <w:r>
        <w:fldChar w:fldCharType="end"/>
      </w:r>
    </w:p>
    <w:p>
      <w:pPr>
        <w:pStyle w:val="13"/>
        <w:tabs>
          <w:tab w:val="right" w:leader="dot" w:pos="9026"/>
        </w:tabs>
      </w:pPr>
      <w:r>
        <w:fldChar w:fldCharType="begin"/>
      </w:r>
      <w:r>
        <w:instrText xml:space="preserve"> HYPERLINK \l "_Toc13372" </w:instrText>
      </w:r>
      <w:r>
        <w:fldChar w:fldCharType="separate"/>
      </w:r>
      <w:r>
        <w:rPr>
          <w:rFonts w:hint="eastAsia" w:asciiTheme="minorEastAsia" w:hAnsiTheme="minorEastAsia" w:eastAsiaTheme="minorEastAsia" w:cstheme="minorEastAsia"/>
          <w:bCs/>
          <w:szCs w:val="28"/>
        </w:rPr>
        <w:t>5.1</w:t>
      </w:r>
      <w:r>
        <w:rPr>
          <w:rFonts w:hint="eastAsia" w:asciiTheme="minorEastAsia" w:hAnsiTheme="minorEastAsia" w:eastAsiaTheme="minorEastAsia" w:cstheme="minorEastAsia"/>
          <w:bCs/>
          <w:szCs w:val="28"/>
          <w:lang w:val="zh-CN"/>
        </w:rPr>
        <w:t>后期防控</w:t>
      </w:r>
      <w:r>
        <w:tab/>
      </w:r>
      <w:r>
        <w:fldChar w:fldCharType="begin"/>
      </w:r>
      <w:r>
        <w:instrText xml:space="preserve"> PAGEREF _Toc13372 </w:instrText>
      </w:r>
      <w:r>
        <w:fldChar w:fldCharType="separate"/>
      </w:r>
      <w:r>
        <w:t>27</w:t>
      </w:r>
      <w:r>
        <w:fldChar w:fldCharType="end"/>
      </w:r>
      <w:r>
        <w:fldChar w:fldCharType="end"/>
      </w:r>
    </w:p>
    <w:p>
      <w:pPr>
        <w:pStyle w:val="13"/>
        <w:tabs>
          <w:tab w:val="right" w:leader="dot" w:pos="9026"/>
        </w:tabs>
      </w:pPr>
      <w:r>
        <w:fldChar w:fldCharType="begin"/>
      </w:r>
      <w:r>
        <w:instrText xml:space="preserve"> HYPERLINK \l "_Toc28411" </w:instrText>
      </w:r>
      <w:r>
        <w:fldChar w:fldCharType="separate"/>
      </w:r>
      <w:r>
        <w:rPr>
          <w:rFonts w:hint="eastAsia" w:asciiTheme="minorEastAsia" w:hAnsiTheme="minorEastAsia" w:eastAsiaTheme="minorEastAsia" w:cstheme="minorEastAsia"/>
          <w:bCs/>
          <w:szCs w:val="28"/>
        </w:rPr>
        <w:t>5.2</w:t>
      </w:r>
      <w:r>
        <w:rPr>
          <w:rFonts w:hint="eastAsia" w:asciiTheme="minorEastAsia" w:hAnsiTheme="minorEastAsia" w:eastAsiaTheme="minorEastAsia" w:cstheme="minorEastAsia"/>
          <w:bCs/>
          <w:szCs w:val="28"/>
          <w:lang w:val="zh-CN"/>
        </w:rPr>
        <w:t>事件调查</w:t>
      </w:r>
      <w:r>
        <w:tab/>
      </w:r>
      <w:r>
        <w:fldChar w:fldCharType="begin"/>
      </w:r>
      <w:r>
        <w:instrText xml:space="preserve"> PAGEREF _Toc28411 </w:instrText>
      </w:r>
      <w:r>
        <w:fldChar w:fldCharType="separate"/>
      </w:r>
      <w:r>
        <w:t>27</w:t>
      </w:r>
      <w:r>
        <w:fldChar w:fldCharType="end"/>
      </w:r>
      <w:r>
        <w:fldChar w:fldCharType="end"/>
      </w:r>
    </w:p>
    <w:p>
      <w:pPr>
        <w:pStyle w:val="13"/>
        <w:tabs>
          <w:tab w:val="right" w:leader="dot" w:pos="9026"/>
        </w:tabs>
      </w:pPr>
      <w:r>
        <w:fldChar w:fldCharType="begin"/>
      </w:r>
      <w:r>
        <w:instrText xml:space="preserve"> HYPERLINK \l "_Toc4890" </w:instrText>
      </w:r>
      <w:r>
        <w:fldChar w:fldCharType="separate"/>
      </w:r>
      <w:r>
        <w:rPr>
          <w:rFonts w:hint="eastAsia" w:asciiTheme="minorEastAsia" w:hAnsiTheme="minorEastAsia" w:eastAsiaTheme="minorEastAsia" w:cstheme="minorEastAsia"/>
          <w:bCs/>
          <w:szCs w:val="28"/>
        </w:rPr>
        <w:t>5.3损害评估</w:t>
      </w:r>
      <w:r>
        <w:tab/>
      </w:r>
      <w:r>
        <w:fldChar w:fldCharType="begin"/>
      </w:r>
      <w:r>
        <w:instrText xml:space="preserve"> PAGEREF _Toc4890 </w:instrText>
      </w:r>
      <w:r>
        <w:fldChar w:fldCharType="separate"/>
      </w:r>
      <w:r>
        <w:t>27</w:t>
      </w:r>
      <w:r>
        <w:fldChar w:fldCharType="end"/>
      </w:r>
      <w:r>
        <w:fldChar w:fldCharType="end"/>
      </w:r>
    </w:p>
    <w:p>
      <w:pPr>
        <w:pStyle w:val="13"/>
        <w:tabs>
          <w:tab w:val="right" w:leader="dot" w:pos="9026"/>
        </w:tabs>
      </w:pPr>
      <w:r>
        <w:fldChar w:fldCharType="begin"/>
      </w:r>
      <w:r>
        <w:instrText xml:space="preserve"> HYPERLINK \l "_Toc17301" </w:instrText>
      </w:r>
      <w:r>
        <w:fldChar w:fldCharType="separate"/>
      </w:r>
      <w:r>
        <w:rPr>
          <w:rFonts w:hint="eastAsia" w:asciiTheme="minorEastAsia" w:hAnsiTheme="minorEastAsia" w:eastAsiaTheme="minorEastAsia" w:cstheme="minorEastAsia"/>
          <w:bCs/>
          <w:szCs w:val="28"/>
        </w:rPr>
        <w:t>5.4善后处置</w:t>
      </w:r>
      <w:r>
        <w:tab/>
      </w:r>
      <w:r>
        <w:fldChar w:fldCharType="begin"/>
      </w:r>
      <w:r>
        <w:instrText xml:space="preserve"> PAGEREF _Toc17301 </w:instrText>
      </w:r>
      <w:r>
        <w:fldChar w:fldCharType="separate"/>
      </w:r>
      <w:r>
        <w:t>28</w:t>
      </w:r>
      <w:r>
        <w:fldChar w:fldCharType="end"/>
      </w:r>
      <w:r>
        <w:fldChar w:fldCharType="end"/>
      </w:r>
    </w:p>
    <w:p>
      <w:pPr>
        <w:pStyle w:val="12"/>
        <w:tabs>
          <w:tab w:val="right" w:leader="dot" w:pos="9026"/>
        </w:tabs>
      </w:pPr>
      <w:r>
        <w:fldChar w:fldCharType="begin"/>
      </w:r>
      <w:r>
        <w:instrText xml:space="preserve"> HYPERLINK \l "_Toc19921" </w:instrText>
      </w:r>
      <w:r>
        <w:fldChar w:fldCharType="separate"/>
      </w:r>
      <w:r>
        <w:rPr>
          <w:rFonts w:hint="eastAsia" w:asciiTheme="minorEastAsia" w:hAnsiTheme="minorEastAsia" w:eastAsiaTheme="minorEastAsia" w:cstheme="minorEastAsia"/>
          <w:bCs/>
          <w:szCs w:val="32"/>
        </w:rPr>
        <w:t>6应急保障</w:t>
      </w:r>
      <w:r>
        <w:tab/>
      </w:r>
      <w:r>
        <w:fldChar w:fldCharType="begin"/>
      </w:r>
      <w:r>
        <w:instrText xml:space="preserve"> PAGEREF _Toc19921 </w:instrText>
      </w:r>
      <w:r>
        <w:fldChar w:fldCharType="separate"/>
      </w:r>
      <w:r>
        <w:t>29</w:t>
      </w:r>
      <w:r>
        <w:fldChar w:fldCharType="end"/>
      </w:r>
      <w:r>
        <w:fldChar w:fldCharType="end"/>
      </w:r>
    </w:p>
    <w:p>
      <w:pPr>
        <w:pStyle w:val="13"/>
        <w:tabs>
          <w:tab w:val="right" w:leader="dot" w:pos="9026"/>
        </w:tabs>
      </w:pPr>
      <w:r>
        <w:fldChar w:fldCharType="begin"/>
      </w:r>
      <w:r>
        <w:instrText xml:space="preserve"> HYPERLINK \l "_Toc17801" </w:instrText>
      </w:r>
      <w:r>
        <w:fldChar w:fldCharType="separate"/>
      </w:r>
      <w:r>
        <w:rPr>
          <w:rFonts w:hint="eastAsia" w:asciiTheme="minorEastAsia" w:hAnsiTheme="minorEastAsia" w:eastAsiaTheme="minorEastAsia" w:cstheme="minorEastAsia"/>
          <w:bCs/>
          <w:szCs w:val="28"/>
        </w:rPr>
        <w:t>6.1</w:t>
      </w:r>
      <w:r>
        <w:rPr>
          <w:rFonts w:hint="eastAsia" w:asciiTheme="minorEastAsia" w:hAnsiTheme="minorEastAsia" w:eastAsiaTheme="minorEastAsia" w:cstheme="minorEastAsia"/>
          <w:bCs/>
          <w:szCs w:val="28"/>
          <w:lang w:val="zh-CN"/>
        </w:rPr>
        <w:t>通讯与信息保障</w:t>
      </w:r>
      <w:r>
        <w:tab/>
      </w:r>
      <w:r>
        <w:fldChar w:fldCharType="begin"/>
      </w:r>
      <w:r>
        <w:instrText xml:space="preserve"> PAGEREF _Toc17801 </w:instrText>
      </w:r>
      <w:r>
        <w:fldChar w:fldCharType="separate"/>
      </w:r>
      <w:r>
        <w:t>29</w:t>
      </w:r>
      <w:r>
        <w:fldChar w:fldCharType="end"/>
      </w:r>
      <w:r>
        <w:fldChar w:fldCharType="end"/>
      </w:r>
    </w:p>
    <w:p>
      <w:pPr>
        <w:pStyle w:val="13"/>
        <w:tabs>
          <w:tab w:val="right" w:leader="dot" w:pos="9026"/>
        </w:tabs>
      </w:pPr>
      <w:r>
        <w:fldChar w:fldCharType="begin"/>
      </w:r>
      <w:r>
        <w:instrText xml:space="preserve"> HYPERLINK \l "_Toc7882" </w:instrText>
      </w:r>
      <w:r>
        <w:fldChar w:fldCharType="separate"/>
      </w:r>
      <w:r>
        <w:rPr>
          <w:rFonts w:hint="eastAsia" w:asciiTheme="minorEastAsia" w:hAnsiTheme="minorEastAsia" w:eastAsiaTheme="minorEastAsia" w:cstheme="minorEastAsia"/>
          <w:bCs/>
          <w:szCs w:val="28"/>
        </w:rPr>
        <w:t>6.2</w:t>
      </w:r>
      <w:r>
        <w:rPr>
          <w:rFonts w:hint="eastAsia" w:asciiTheme="minorEastAsia" w:hAnsiTheme="minorEastAsia" w:eastAsiaTheme="minorEastAsia" w:cstheme="minorEastAsia"/>
          <w:bCs/>
          <w:szCs w:val="28"/>
          <w:lang w:val="zh-CN"/>
        </w:rPr>
        <w:t>应急队伍保障</w:t>
      </w:r>
      <w:r>
        <w:tab/>
      </w:r>
      <w:r>
        <w:fldChar w:fldCharType="begin"/>
      </w:r>
      <w:r>
        <w:instrText xml:space="preserve"> PAGEREF _Toc7882 </w:instrText>
      </w:r>
      <w:r>
        <w:fldChar w:fldCharType="separate"/>
      </w:r>
      <w:r>
        <w:t>29</w:t>
      </w:r>
      <w:r>
        <w:fldChar w:fldCharType="end"/>
      </w:r>
      <w:r>
        <w:fldChar w:fldCharType="end"/>
      </w:r>
    </w:p>
    <w:p>
      <w:pPr>
        <w:pStyle w:val="13"/>
        <w:tabs>
          <w:tab w:val="right" w:leader="dot" w:pos="9026"/>
        </w:tabs>
      </w:pPr>
      <w:r>
        <w:fldChar w:fldCharType="begin"/>
      </w:r>
      <w:r>
        <w:instrText xml:space="preserve"> HYPERLINK \l "_Toc1724" </w:instrText>
      </w:r>
      <w:r>
        <w:fldChar w:fldCharType="separate"/>
      </w:r>
      <w:r>
        <w:rPr>
          <w:rFonts w:hint="eastAsia" w:asciiTheme="minorEastAsia" w:hAnsiTheme="minorEastAsia" w:eastAsiaTheme="minorEastAsia" w:cstheme="minorEastAsia"/>
          <w:bCs/>
          <w:szCs w:val="28"/>
        </w:rPr>
        <w:t>6.3应急资源保障</w:t>
      </w:r>
      <w:r>
        <w:tab/>
      </w:r>
      <w:r>
        <w:fldChar w:fldCharType="begin"/>
      </w:r>
      <w:r>
        <w:instrText xml:space="preserve"> PAGEREF _Toc1724 </w:instrText>
      </w:r>
      <w:r>
        <w:fldChar w:fldCharType="separate"/>
      </w:r>
      <w:r>
        <w:t>30</w:t>
      </w:r>
      <w:r>
        <w:fldChar w:fldCharType="end"/>
      </w:r>
      <w:r>
        <w:fldChar w:fldCharType="end"/>
      </w:r>
    </w:p>
    <w:p>
      <w:pPr>
        <w:pStyle w:val="13"/>
        <w:tabs>
          <w:tab w:val="right" w:leader="dot" w:pos="9026"/>
        </w:tabs>
      </w:pPr>
      <w:r>
        <w:fldChar w:fldCharType="begin"/>
      </w:r>
      <w:r>
        <w:instrText xml:space="preserve"> HYPERLINK \l "_Toc5363" </w:instrText>
      </w:r>
      <w:r>
        <w:fldChar w:fldCharType="separate"/>
      </w:r>
      <w:r>
        <w:rPr>
          <w:rFonts w:hint="eastAsia" w:asciiTheme="minorEastAsia" w:hAnsiTheme="minorEastAsia" w:eastAsiaTheme="minorEastAsia" w:cstheme="minorEastAsia"/>
          <w:bCs/>
          <w:szCs w:val="28"/>
        </w:rPr>
        <w:t>6.4经费保障</w:t>
      </w:r>
      <w:r>
        <w:tab/>
      </w:r>
      <w:r>
        <w:fldChar w:fldCharType="begin"/>
      </w:r>
      <w:r>
        <w:instrText xml:space="preserve"> PAGEREF _Toc5363 </w:instrText>
      </w:r>
      <w:r>
        <w:fldChar w:fldCharType="separate"/>
      </w:r>
      <w:r>
        <w:t>30</w:t>
      </w:r>
      <w:r>
        <w:fldChar w:fldCharType="end"/>
      </w:r>
      <w:r>
        <w:fldChar w:fldCharType="end"/>
      </w:r>
    </w:p>
    <w:p>
      <w:pPr>
        <w:pStyle w:val="13"/>
        <w:tabs>
          <w:tab w:val="right" w:leader="dot" w:pos="9026"/>
        </w:tabs>
      </w:pPr>
      <w:r>
        <w:fldChar w:fldCharType="begin"/>
      </w:r>
      <w:r>
        <w:instrText xml:space="preserve"> HYPERLINK \l "_Toc29850" </w:instrText>
      </w:r>
      <w:r>
        <w:fldChar w:fldCharType="separate"/>
      </w:r>
      <w:r>
        <w:rPr>
          <w:rFonts w:hint="eastAsia" w:asciiTheme="minorEastAsia" w:hAnsiTheme="minorEastAsia" w:eastAsiaTheme="minorEastAsia" w:cstheme="minorEastAsia"/>
          <w:bCs/>
          <w:szCs w:val="28"/>
        </w:rPr>
        <w:t>6.5其他保障</w:t>
      </w:r>
      <w:r>
        <w:tab/>
      </w:r>
      <w:r>
        <w:fldChar w:fldCharType="begin"/>
      </w:r>
      <w:r>
        <w:instrText xml:space="preserve"> PAGEREF _Toc29850 </w:instrText>
      </w:r>
      <w:r>
        <w:fldChar w:fldCharType="separate"/>
      </w:r>
      <w:r>
        <w:t>30</w:t>
      </w:r>
      <w:r>
        <w:fldChar w:fldCharType="end"/>
      </w:r>
      <w:r>
        <w:fldChar w:fldCharType="end"/>
      </w:r>
    </w:p>
    <w:p>
      <w:pPr>
        <w:pStyle w:val="12"/>
        <w:tabs>
          <w:tab w:val="right" w:leader="dot" w:pos="9026"/>
        </w:tabs>
      </w:pPr>
      <w:r>
        <w:fldChar w:fldCharType="begin"/>
      </w:r>
      <w:r>
        <w:instrText xml:space="preserve"> HYPERLINK \l "_Toc24946" </w:instrText>
      </w:r>
      <w:r>
        <w:fldChar w:fldCharType="separate"/>
      </w:r>
      <w:r>
        <w:rPr>
          <w:rFonts w:hint="eastAsia" w:asciiTheme="minorEastAsia" w:hAnsiTheme="minorEastAsia" w:eastAsiaTheme="minorEastAsia" w:cstheme="minorEastAsia"/>
          <w:bCs/>
          <w:szCs w:val="32"/>
        </w:rPr>
        <w:t>7附则</w:t>
      </w:r>
      <w:r>
        <w:tab/>
      </w:r>
      <w:r>
        <w:fldChar w:fldCharType="begin"/>
      </w:r>
      <w:r>
        <w:instrText xml:space="preserve"> PAGEREF _Toc24946 </w:instrText>
      </w:r>
      <w:r>
        <w:fldChar w:fldCharType="separate"/>
      </w:r>
      <w:r>
        <w:t>31</w:t>
      </w:r>
      <w:r>
        <w:fldChar w:fldCharType="end"/>
      </w:r>
      <w:r>
        <w:fldChar w:fldCharType="end"/>
      </w:r>
    </w:p>
    <w:p>
      <w:pPr>
        <w:pStyle w:val="13"/>
        <w:tabs>
          <w:tab w:val="right" w:leader="dot" w:pos="9026"/>
        </w:tabs>
      </w:pPr>
      <w:r>
        <w:fldChar w:fldCharType="begin"/>
      </w:r>
      <w:r>
        <w:instrText xml:space="preserve"> HYPERLINK \l "_Toc14189" </w:instrText>
      </w:r>
      <w:r>
        <w:fldChar w:fldCharType="separate"/>
      </w:r>
      <w:r>
        <w:rPr>
          <w:rFonts w:hint="eastAsia" w:asciiTheme="minorEastAsia" w:hAnsiTheme="minorEastAsia" w:eastAsiaTheme="minorEastAsia" w:cstheme="minorEastAsia"/>
          <w:bCs/>
          <w:szCs w:val="28"/>
        </w:rPr>
        <w:t>7.1</w:t>
      </w:r>
      <w:r>
        <w:rPr>
          <w:rFonts w:hint="eastAsia" w:asciiTheme="minorEastAsia" w:hAnsiTheme="minorEastAsia" w:eastAsiaTheme="minorEastAsia" w:cstheme="minorEastAsia"/>
          <w:bCs/>
          <w:szCs w:val="28"/>
          <w:lang w:val="zh-CN"/>
        </w:rPr>
        <w:t>名词术语</w:t>
      </w:r>
      <w:r>
        <w:tab/>
      </w:r>
      <w:r>
        <w:fldChar w:fldCharType="begin"/>
      </w:r>
      <w:r>
        <w:instrText xml:space="preserve"> PAGEREF _Toc14189 </w:instrText>
      </w:r>
      <w:r>
        <w:fldChar w:fldCharType="separate"/>
      </w:r>
      <w:r>
        <w:t>31</w:t>
      </w:r>
      <w:r>
        <w:fldChar w:fldCharType="end"/>
      </w:r>
      <w:r>
        <w:fldChar w:fldCharType="end"/>
      </w:r>
    </w:p>
    <w:p>
      <w:pPr>
        <w:pStyle w:val="13"/>
        <w:tabs>
          <w:tab w:val="right" w:leader="dot" w:pos="9026"/>
        </w:tabs>
      </w:pPr>
      <w:r>
        <w:fldChar w:fldCharType="begin"/>
      </w:r>
      <w:r>
        <w:instrText xml:space="preserve"> HYPERLINK \l "_Toc24613" </w:instrText>
      </w:r>
      <w:r>
        <w:fldChar w:fldCharType="separate"/>
      </w:r>
      <w:r>
        <w:rPr>
          <w:rFonts w:hint="eastAsia" w:asciiTheme="minorEastAsia" w:hAnsiTheme="minorEastAsia" w:eastAsiaTheme="minorEastAsia" w:cstheme="minorEastAsia"/>
          <w:bCs/>
          <w:szCs w:val="28"/>
        </w:rPr>
        <w:t>7.2</w:t>
      </w:r>
      <w:r>
        <w:rPr>
          <w:rFonts w:hint="eastAsia" w:asciiTheme="minorEastAsia" w:hAnsiTheme="minorEastAsia" w:eastAsiaTheme="minorEastAsia" w:cstheme="minorEastAsia"/>
          <w:bCs/>
          <w:szCs w:val="28"/>
          <w:lang w:val="zh-CN"/>
        </w:rPr>
        <w:t>预案解释权属</w:t>
      </w:r>
      <w:r>
        <w:tab/>
      </w:r>
      <w:r>
        <w:fldChar w:fldCharType="begin"/>
      </w:r>
      <w:r>
        <w:instrText xml:space="preserve"> PAGEREF _Toc24613 </w:instrText>
      </w:r>
      <w:r>
        <w:fldChar w:fldCharType="separate"/>
      </w:r>
      <w:r>
        <w:t>31</w:t>
      </w:r>
      <w:r>
        <w:fldChar w:fldCharType="end"/>
      </w:r>
      <w:r>
        <w:fldChar w:fldCharType="end"/>
      </w:r>
    </w:p>
    <w:p>
      <w:pPr>
        <w:pStyle w:val="13"/>
        <w:tabs>
          <w:tab w:val="right" w:leader="dot" w:pos="9026"/>
        </w:tabs>
      </w:pPr>
      <w:r>
        <w:fldChar w:fldCharType="begin"/>
      </w:r>
      <w:r>
        <w:instrText xml:space="preserve"> HYPERLINK \l "_Toc9586" </w:instrText>
      </w:r>
      <w:r>
        <w:fldChar w:fldCharType="separate"/>
      </w:r>
      <w:r>
        <w:rPr>
          <w:rFonts w:hint="eastAsia" w:asciiTheme="minorEastAsia" w:hAnsiTheme="minorEastAsia" w:eastAsiaTheme="minorEastAsia" w:cstheme="minorEastAsia"/>
          <w:bCs/>
          <w:szCs w:val="28"/>
        </w:rPr>
        <w:t>7.3预案演练和修订</w:t>
      </w:r>
      <w:r>
        <w:tab/>
      </w:r>
      <w:r>
        <w:fldChar w:fldCharType="begin"/>
      </w:r>
      <w:r>
        <w:instrText xml:space="preserve"> PAGEREF _Toc9586 </w:instrText>
      </w:r>
      <w:r>
        <w:fldChar w:fldCharType="separate"/>
      </w:r>
      <w:r>
        <w:t>32</w:t>
      </w:r>
      <w:r>
        <w:fldChar w:fldCharType="end"/>
      </w:r>
      <w:r>
        <w:fldChar w:fldCharType="end"/>
      </w:r>
    </w:p>
    <w:p>
      <w:pPr>
        <w:pStyle w:val="13"/>
        <w:tabs>
          <w:tab w:val="right" w:leader="dot" w:pos="9026"/>
        </w:tabs>
      </w:pPr>
      <w:r>
        <w:fldChar w:fldCharType="begin"/>
      </w:r>
      <w:r>
        <w:instrText xml:space="preserve"> HYPERLINK \l "_Toc6367" </w:instrText>
      </w:r>
      <w:r>
        <w:fldChar w:fldCharType="separate"/>
      </w:r>
      <w:r>
        <w:rPr>
          <w:rFonts w:hint="eastAsia" w:asciiTheme="minorEastAsia" w:hAnsiTheme="minorEastAsia" w:eastAsiaTheme="minorEastAsia" w:cstheme="minorEastAsia"/>
          <w:bCs/>
          <w:szCs w:val="28"/>
        </w:rPr>
        <w:t>7.4预案实施日期</w:t>
      </w:r>
      <w:r>
        <w:tab/>
      </w:r>
      <w:r>
        <w:fldChar w:fldCharType="begin"/>
      </w:r>
      <w:r>
        <w:instrText xml:space="preserve"> PAGEREF _Toc6367 </w:instrText>
      </w:r>
      <w:r>
        <w:fldChar w:fldCharType="separate"/>
      </w:r>
      <w:r>
        <w:t>32</w:t>
      </w:r>
      <w:r>
        <w:fldChar w:fldCharType="end"/>
      </w:r>
      <w:r>
        <w:fldChar w:fldCharType="end"/>
      </w:r>
    </w:p>
    <w:p>
      <w:pPr>
        <w:pStyle w:val="12"/>
        <w:tabs>
          <w:tab w:val="right" w:leader="dot" w:pos="9026"/>
        </w:tabs>
      </w:pPr>
      <w:r>
        <w:fldChar w:fldCharType="begin"/>
      </w:r>
      <w:r>
        <w:instrText xml:space="preserve"> HYPERLINK \l "_Toc12178" </w:instrText>
      </w:r>
      <w:r>
        <w:fldChar w:fldCharType="separate"/>
      </w:r>
      <w:r>
        <w:rPr>
          <w:rFonts w:hint="eastAsia" w:asciiTheme="minorEastAsia" w:hAnsiTheme="minorEastAsia" w:eastAsiaTheme="minorEastAsia" w:cstheme="minorEastAsia"/>
          <w:bCs/>
          <w:szCs w:val="32"/>
        </w:rPr>
        <w:t>附件及附图</w:t>
      </w:r>
      <w:r>
        <w:tab/>
      </w:r>
      <w:r>
        <w:fldChar w:fldCharType="begin"/>
      </w:r>
      <w:r>
        <w:instrText xml:space="preserve"> PAGEREF _Toc12178 </w:instrText>
      </w:r>
      <w:r>
        <w:fldChar w:fldCharType="separate"/>
      </w:r>
      <w:r>
        <w:t>34</w:t>
      </w:r>
      <w:r>
        <w:fldChar w:fldCharType="end"/>
      </w:r>
      <w:r>
        <w:fldChar w:fldCharType="end"/>
      </w:r>
    </w:p>
    <w:p>
      <w:pPr>
        <w:pStyle w:val="13"/>
        <w:tabs>
          <w:tab w:val="right" w:leader="dot" w:pos="9026"/>
        </w:tabs>
      </w:pPr>
      <w:r>
        <w:fldChar w:fldCharType="begin"/>
      </w:r>
      <w:r>
        <w:instrText xml:space="preserve"> HYPERLINK \l "_Toc10170" </w:instrText>
      </w:r>
      <w:r>
        <w:fldChar w:fldCharType="separate"/>
      </w:r>
      <w:r>
        <w:rPr>
          <w:rFonts w:hint="eastAsia" w:asciiTheme="minorEastAsia" w:hAnsiTheme="minorEastAsia" w:eastAsiaTheme="minorEastAsia" w:cstheme="minorEastAsia"/>
          <w:bCs/>
          <w:szCs w:val="28"/>
          <w:lang w:val="zh-CN"/>
        </w:rPr>
        <w:t>附件</w:t>
      </w:r>
      <w:r>
        <w:rPr>
          <w:rFonts w:hint="eastAsia" w:asciiTheme="minorEastAsia" w:hAnsiTheme="minorEastAsia" w:eastAsiaTheme="minorEastAsia" w:cstheme="minorEastAsia"/>
          <w:bCs/>
          <w:szCs w:val="28"/>
        </w:rPr>
        <w:t>一</w:t>
      </w:r>
      <w:r>
        <w:rPr>
          <w:rFonts w:hint="eastAsia" w:asciiTheme="minorEastAsia" w:hAnsiTheme="minorEastAsia" w:eastAsiaTheme="minorEastAsia" w:cstheme="minorEastAsia"/>
          <w:bCs/>
          <w:szCs w:val="28"/>
          <w:lang w:val="zh-CN"/>
        </w:rPr>
        <w:t>：饮用水水源地突发环境事件分级标准</w:t>
      </w:r>
      <w:r>
        <w:tab/>
      </w:r>
      <w:r>
        <w:fldChar w:fldCharType="begin"/>
      </w:r>
      <w:r>
        <w:instrText xml:space="preserve"> PAGEREF _Toc10170 </w:instrText>
      </w:r>
      <w:r>
        <w:fldChar w:fldCharType="separate"/>
      </w:r>
      <w:r>
        <w:t>35</w:t>
      </w:r>
      <w:r>
        <w:fldChar w:fldCharType="end"/>
      </w:r>
      <w:r>
        <w:fldChar w:fldCharType="end"/>
      </w:r>
    </w:p>
    <w:p>
      <w:pPr>
        <w:pStyle w:val="13"/>
        <w:tabs>
          <w:tab w:val="right" w:leader="dot" w:pos="9026"/>
        </w:tabs>
      </w:pPr>
      <w:r>
        <w:fldChar w:fldCharType="begin"/>
      </w:r>
      <w:r>
        <w:instrText xml:space="preserve"> HYPERLINK \l "_Toc7403" </w:instrText>
      </w:r>
      <w:r>
        <w:fldChar w:fldCharType="separate"/>
      </w:r>
      <w:r>
        <w:rPr>
          <w:rFonts w:hint="eastAsia" w:asciiTheme="minorEastAsia" w:hAnsiTheme="minorEastAsia" w:eastAsiaTheme="minorEastAsia" w:cstheme="minorEastAsia"/>
          <w:bCs/>
          <w:szCs w:val="28"/>
        </w:rPr>
        <w:t>附件二：</w:t>
      </w:r>
      <w:r>
        <w:rPr>
          <w:rFonts w:hint="eastAsia" w:asciiTheme="minorEastAsia" w:hAnsiTheme="minorEastAsia" w:eastAsiaTheme="minorEastAsia" w:cstheme="minorEastAsia"/>
          <w:bCs/>
          <w:szCs w:val="28"/>
          <w:lang w:val="zh-CN"/>
        </w:rPr>
        <w:t>应急组织机构联络方式</w:t>
      </w:r>
      <w:r>
        <w:tab/>
      </w:r>
      <w:r>
        <w:fldChar w:fldCharType="begin"/>
      </w:r>
      <w:r>
        <w:instrText xml:space="preserve"> PAGEREF _Toc7403 </w:instrText>
      </w:r>
      <w:r>
        <w:fldChar w:fldCharType="separate"/>
      </w:r>
      <w:r>
        <w:t>36</w:t>
      </w:r>
      <w:r>
        <w:fldChar w:fldCharType="end"/>
      </w:r>
      <w:r>
        <w:fldChar w:fldCharType="end"/>
      </w:r>
    </w:p>
    <w:p>
      <w:pPr>
        <w:pStyle w:val="13"/>
        <w:tabs>
          <w:tab w:val="right" w:leader="dot" w:pos="9026"/>
        </w:tabs>
      </w:pPr>
      <w:r>
        <w:fldChar w:fldCharType="begin"/>
      </w:r>
      <w:r>
        <w:instrText xml:space="preserve"> HYPERLINK \l "_Toc11530" </w:instrText>
      </w:r>
      <w:r>
        <w:fldChar w:fldCharType="separate"/>
      </w:r>
      <w:r>
        <w:rPr>
          <w:rFonts w:hint="eastAsia" w:asciiTheme="minorEastAsia" w:hAnsiTheme="minorEastAsia" w:eastAsiaTheme="minorEastAsia" w:cstheme="minorEastAsia"/>
          <w:bCs/>
          <w:szCs w:val="28"/>
        </w:rPr>
        <w:t>附件三：外部救援机构联系电话</w:t>
      </w:r>
      <w:r>
        <w:tab/>
      </w:r>
      <w:r>
        <w:fldChar w:fldCharType="begin"/>
      </w:r>
      <w:r>
        <w:instrText xml:space="preserve"> PAGEREF _Toc11530 </w:instrText>
      </w:r>
      <w:r>
        <w:fldChar w:fldCharType="separate"/>
      </w:r>
      <w:r>
        <w:t>37</w:t>
      </w:r>
      <w:r>
        <w:fldChar w:fldCharType="end"/>
      </w:r>
      <w:r>
        <w:fldChar w:fldCharType="end"/>
      </w:r>
    </w:p>
    <w:p>
      <w:pPr>
        <w:pStyle w:val="13"/>
        <w:tabs>
          <w:tab w:val="right" w:leader="dot" w:pos="9026"/>
        </w:tabs>
      </w:pPr>
      <w:r>
        <w:fldChar w:fldCharType="begin"/>
      </w:r>
      <w:r>
        <w:instrText xml:space="preserve"> HYPERLINK \l "_Toc21385" </w:instrText>
      </w:r>
      <w:r>
        <w:fldChar w:fldCharType="separate"/>
      </w:r>
      <w:r>
        <w:rPr>
          <w:rFonts w:hint="eastAsia" w:asciiTheme="minorEastAsia" w:hAnsiTheme="minorEastAsia" w:eastAsiaTheme="minorEastAsia" w:cstheme="minorEastAsia"/>
          <w:bCs/>
          <w:szCs w:val="28"/>
          <w:lang w:val="zh-CN"/>
        </w:rPr>
        <w:t>附件</w:t>
      </w:r>
      <w:r>
        <w:rPr>
          <w:rFonts w:hint="eastAsia" w:asciiTheme="minorEastAsia" w:hAnsiTheme="minorEastAsia" w:eastAsiaTheme="minorEastAsia" w:cstheme="minorEastAsia"/>
          <w:bCs/>
          <w:szCs w:val="28"/>
        </w:rPr>
        <w:t>四：</w:t>
      </w:r>
      <w:r>
        <w:rPr>
          <w:rFonts w:hint="eastAsia" w:asciiTheme="minorEastAsia" w:hAnsiTheme="minorEastAsia" w:eastAsiaTheme="minorEastAsia" w:cstheme="minorEastAsia"/>
          <w:bCs/>
          <w:szCs w:val="28"/>
          <w:lang w:val="zh-CN"/>
        </w:rPr>
        <w:t>应急救援物资一览表</w:t>
      </w:r>
      <w:r>
        <w:tab/>
      </w:r>
      <w:r>
        <w:fldChar w:fldCharType="begin"/>
      </w:r>
      <w:r>
        <w:instrText xml:space="preserve"> PAGEREF _Toc21385 </w:instrText>
      </w:r>
      <w:r>
        <w:fldChar w:fldCharType="separate"/>
      </w:r>
      <w:r>
        <w:t>38</w:t>
      </w:r>
      <w:r>
        <w:fldChar w:fldCharType="end"/>
      </w:r>
      <w:r>
        <w:fldChar w:fldCharType="end"/>
      </w:r>
    </w:p>
    <w:p>
      <w:pPr>
        <w:pStyle w:val="13"/>
        <w:tabs>
          <w:tab w:val="right" w:leader="dot" w:pos="9026"/>
        </w:tabs>
      </w:pPr>
      <w:r>
        <w:fldChar w:fldCharType="begin"/>
      </w:r>
      <w:r>
        <w:instrText xml:space="preserve"> HYPERLINK \l "_Toc10659" </w:instrText>
      </w:r>
      <w:r>
        <w:fldChar w:fldCharType="separate"/>
      </w:r>
      <w:r>
        <w:rPr>
          <w:rFonts w:hint="eastAsia" w:ascii="宋体" w:hAnsi="宋体" w:cs="宋体"/>
          <w:bCs/>
          <w:szCs w:val="28"/>
          <w:lang w:val="zh-CN"/>
        </w:rPr>
        <w:t>附</w:t>
      </w:r>
      <w:r>
        <w:rPr>
          <w:rFonts w:hint="eastAsia" w:ascii="宋体" w:hAnsi="宋体" w:cs="宋体"/>
          <w:bCs/>
          <w:szCs w:val="28"/>
        </w:rPr>
        <w:t>图一：</w:t>
      </w:r>
      <w:r>
        <w:rPr>
          <w:rFonts w:hint="eastAsia" w:ascii="宋体" w:hAnsi="宋体" w:cs="宋体"/>
          <w:bCs/>
          <w:szCs w:val="28"/>
          <w:lang w:val="zh-CN"/>
        </w:rPr>
        <w:t>开州区</w:t>
      </w:r>
      <w:r>
        <w:rPr>
          <w:rFonts w:hint="eastAsia" w:cs="宋体"/>
          <w:bCs/>
          <w:szCs w:val="28"/>
        </w:rPr>
        <w:t>满月镇</w:t>
      </w:r>
      <w:r>
        <w:rPr>
          <w:rFonts w:hint="eastAsia" w:cs="宋体"/>
          <w:bCs/>
          <w:szCs w:val="28"/>
          <w:lang w:val="zh-CN"/>
        </w:rPr>
        <w:t>集中式地表水饮用水水源地</w:t>
      </w:r>
      <w:r>
        <w:rPr>
          <w:rFonts w:hint="eastAsia" w:ascii="宋体" w:hAnsi="宋体" w:cs="宋体"/>
          <w:bCs/>
          <w:szCs w:val="28"/>
          <w:lang w:val="zh-CN"/>
        </w:rPr>
        <w:t>地理位置图</w:t>
      </w:r>
      <w:r>
        <w:tab/>
      </w:r>
      <w:r>
        <w:fldChar w:fldCharType="begin"/>
      </w:r>
      <w:r>
        <w:instrText xml:space="preserve"> PAGEREF _Toc10659 </w:instrText>
      </w:r>
      <w:r>
        <w:fldChar w:fldCharType="separate"/>
      </w:r>
      <w:r>
        <w:t>39</w:t>
      </w:r>
      <w:r>
        <w:fldChar w:fldCharType="end"/>
      </w:r>
      <w:r>
        <w:fldChar w:fldCharType="end"/>
      </w:r>
    </w:p>
    <w:p>
      <w:pPr>
        <w:pStyle w:val="13"/>
        <w:tabs>
          <w:tab w:val="right" w:leader="dot" w:pos="9026"/>
        </w:tabs>
      </w:pPr>
      <w:r>
        <w:fldChar w:fldCharType="begin"/>
      </w:r>
      <w:r>
        <w:instrText xml:space="preserve"> HYPERLINK \l "_Toc8193" </w:instrText>
      </w:r>
      <w:r>
        <w:fldChar w:fldCharType="separate"/>
      </w:r>
      <w:r>
        <w:rPr>
          <w:rFonts w:hint="eastAsia" w:ascii="宋体" w:hAnsi="宋体" w:cs="宋体"/>
          <w:bCs/>
          <w:szCs w:val="28"/>
          <w:lang w:val="zh-CN"/>
        </w:rPr>
        <w:t>附</w:t>
      </w:r>
      <w:r>
        <w:rPr>
          <w:rFonts w:hint="eastAsia" w:ascii="宋体" w:hAnsi="宋体" w:cs="宋体"/>
          <w:bCs/>
          <w:szCs w:val="28"/>
        </w:rPr>
        <w:t>图</w:t>
      </w:r>
      <w:r>
        <w:rPr>
          <w:rFonts w:hint="eastAsia" w:cs="宋体"/>
          <w:bCs/>
          <w:szCs w:val="28"/>
        </w:rPr>
        <w:t>二</w:t>
      </w:r>
      <w:r>
        <w:rPr>
          <w:rFonts w:hint="eastAsia" w:ascii="宋体" w:hAnsi="宋体" w:cs="宋体"/>
          <w:bCs/>
          <w:szCs w:val="28"/>
        </w:rPr>
        <w:t>：</w:t>
      </w:r>
      <w:r>
        <w:rPr>
          <w:rFonts w:hint="eastAsia" w:ascii="宋体" w:hAnsi="宋体" w:cs="宋体"/>
          <w:bCs/>
          <w:szCs w:val="28"/>
          <w:lang w:val="zh-CN"/>
        </w:rPr>
        <w:t>开州区</w:t>
      </w:r>
      <w:r>
        <w:rPr>
          <w:rFonts w:hint="eastAsia" w:cs="宋体"/>
          <w:bCs/>
          <w:szCs w:val="28"/>
        </w:rPr>
        <w:t>满月镇</w:t>
      </w:r>
      <w:r>
        <w:rPr>
          <w:rFonts w:hint="eastAsia" w:cs="宋体"/>
          <w:bCs/>
          <w:szCs w:val="28"/>
          <w:lang w:val="zh-CN"/>
        </w:rPr>
        <w:t>集中式地表水饮用水水源地</w:t>
      </w:r>
      <w:r>
        <w:rPr>
          <w:rFonts w:hint="eastAsia" w:cs="宋体"/>
          <w:bCs/>
          <w:szCs w:val="28"/>
        </w:rPr>
        <w:t>保护区域范围图</w:t>
      </w:r>
      <w:r>
        <w:tab/>
      </w:r>
      <w:r>
        <w:fldChar w:fldCharType="begin"/>
      </w:r>
      <w:r>
        <w:instrText xml:space="preserve"> PAGEREF _Toc8193 </w:instrText>
      </w:r>
      <w:r>
        <w:fldChar w:fldCharType="separate"/>
      </w:r>
      <w:r>
        <w:t>40</w:t>
      </w:r>
      <w:r>
        <w:fldChar w:fldCharType="end"/>
      </w:r>
      <w:r>
        <w:fldChar w:fldCharType="end"/>
      </w:r>
    </w:p>
    <w:p>
      <w:pPr>
        <w:pStyle w:val="13"/>
        <w:tabs>
          <w:tab w:val="right" w:leader="dot" w:pos="9026"/>
        </w:tabs>
      </w:pPr>
      <w:r>
        <w:fldChar w:fldCharType="begin"/>
      </w:r>
      <w:r>
        <w:instrText xml:space="preserve"> HYPERLINK \l "_Toc4754" </w:instrText>
      </w:r>
      <w:r>
        <w:fldChar w:fldCharType="separate"/>
      </w:r>
      <w:r>
        <w:rPr>
          <w:rFonts w:hint="eastAsia" w:ascii="宋体" w:hAnsi="宋体" w:cs="宋体"/>
          <w:bCs/>
          <w:szCs w:val="28"/>
        </w:rPr>
        <w:t>附图</w:t>
      </w:r>
      <w:r>
        <w:rPr>
          <w:rFonts w:hint="eastAsia" w:cs="宋体"/>
          <w:bCs/>
          <w:szCs w:val="28"/>
        </w:rPr>
        <w:t>三</w:t>
      </w:r>
      <w:r>
        <w:rPr>
          <w:rFonts w:hint="eastAsia" w:ascii="宋体" w:hAnsi="宋体" w:cs="宋体"/>
          <w:bCs/>
          <w:szCs w:val="28"/>
        </w:rPr>
        <w:t>：开州区</w:t>
      </w:r>
      <w:r>
        <w:rPr>
          <w:rFonts w:hint="eastAsia" w:cs="宋体"/>
          <w:bCs/>
          <w:szCs w:val="28"/>
        </w:rPr>
        <w:t>满月镇</w:t>
      </w:r>
      <w:r>
        <w:rPr>
          <w:rFonts w:hint="eastAsia" w:ascii="宋体" w:hAnsi="宋体" w:cs="宋体"/>
          <w:bCs/>
          <w:szCs w:val="28"/>
        </w:rPr>
        <w:t>供水区域图</w:t>
      </w:r>
      <w:r>
        <w:tab/>
      </w:r>
      <w:r>
        <w:fldChar w:fldCharType="begin"/>
      </w:r>
      <w:r>
        <w:instrText xml:space="preserve"> PAGEREF _Toc4754 </w:instrText>
      </w:r>
      <w:r>
        <w:fldChar w:fldCharType="separate"/>
      </w:r>
      <w:r>
        <w:t>41</w:t>
      </w:r>
      <w:r>
        <w:fldChar w:fldCharType="end"/>
      </w:r>
      <w:r>
        <w:fldChar w:fldCharType="end"/>
      </w:r>
    </w:p>
    <w:p>
      <w:pPr>
        <w:pStyle w:val="13"/>
        <w:tabs>
          <w:tab w:val="right" w:leader="dot" w:pos="9026"/>
        </w:tabs>
      </w:pPr>
      <w:r>
        <w:fldChar w:fldCharType="begin"/>
      </w:r>
      <w:r>
        <w:instrText xml:space="preserve"> HYPERLINK \l "_Toc15053" </w:instrText>
      </w:r>
      <w:r>
        <w:fldChar w:fldCharType="separate"/>
      </w:r>
      <w:r>
        <w:rPr>
          <w:rFonts w:hint="eastAsia" w:cs="宋体"/>
          <w:bCs/>
          <w:szCs w:val="28"/>
        </w:rPr>
        <w:t>附图四：开州区水系图</w:t>
      </w:r>
      <w:r>
        <w:tab/>
      </w:r>
      <w:r>
        <w:fldChar w:fldCharType="begin"/>
      </w:r>
      <w:r>
        <w:instrText xml:space="preserve"> PAGEREF _Toc15053 </w:instrText>
      </w:r>
      <w:r>
        <w:fldChar w:fldCharType="separate"/>
      </w:r>
      <w:r>
        <w:t>42</w:t>
      </w:r>
      <w:r>
        <w:fldChar w:fldCharType="end"/>
      </w:r>
      <w:r>
        <w:fldChar w:fldCharType="end"/>
      </w:r>
    </w:p>
    <w:p>
      <w:pPr>
        <w:pStyle w:val="13"/>
        <w:tabs>
          <w:tab w:val="right" w:leader="dot" w:pos="9026"/>
        </w:tabs>
      </w:pPr>
      <w:r>
        <w:fldChar w:fldCharType="begin"/>
      </w:r>
      <w:r>
        <w:instrText xml:space="preserve"> HYPERLINK \l "_Toc32646" </w:instrText>
      </w:r>
      <w:r>
        <w:fldChar w:fldCharType="separate"/>
      </w:r>
      <w:r>
        <w:rPr>
          <w:rFonts w:hint="eastAsia" w:cs="宋体"/>
          <w:bCs/>
          <w:szCs w:val="28"/>
        </w:rPr>
        <w:t>附图五：开州区地图</w:t>
      </w:r>
      <w:r>
        <w:tab/>
      </w:r>
      <w:r>
        <w:fldChar w:fldCharType="begin"/>
      </w:r>
      <w:r>
        <w:instrText xml:space="preserve"> PAGEREF _Toc32646 </w:instrText>
      </w:r>
      <w:r>
        <w:fldChar w:fldCharType="separate"/>
      </w:r>
      <w:r>
        <w:t>43</w:t>
      </w:r>
      <w:r>
        <w:fldChar w:fldCharType="end"/>
      </w:r>
      <w:r>
        <w:fldChar w:fldCharType="end"/>
      </w:r>
    </w:p>
    <w:p>
      <w:pPr>
        <w:pStyle w:val="8"/>
        <w:spacing w:line="360" w:lineRule="auto"/>
        <w:ind w:left="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Cs w:val="28"/>
          <w:lang w:val="en-US"/>
        </w:rPr>
        <w:fldChar w:fldCharType="end"/>
      </w:r>
    </w:p>
    <w:p>
      <w:pPr>
        <w:pStyle w:val="8"/>
        <w:spacing w:line="360" w:lineRule="auto"/>
        <w:ind w:left="0"/>
        <w:rPr>
          <w:rFonts w:asciiTheme="minorEastAsia" w:hAnsiTheme="minorEastAsia" w:eastAsiaTheme="minorEastAsia" w:cstheme="minorEastAsia"/>
          <w:sz w:val="28"/>
          <w:szCs w:val="28"/>
        </w:rPr>
        <w:sectPr>
          <w:headerReference r:id="rId4" w:type="default"/>
          <w:footerReference r:id="rId5" w:type="default"/>
          <w:pgSz w:w="11906" w:h="16838"/>
          <w:pgMar w:top="1440" w:right="1440" w:bottom="1440" w:left="1440" w:header="1134" w:footer="992" w:gutter="0"/>
          <w:pgNumType w:start="1"/>
          <w:cols w:space="720" w:num="1"/>
          <w:docGrid w:type="lines" w:linePitch="318" w:charSpace="0"/>
        </w:sectPr>
      </w:pPr>
      <w:bookmarkStart w:id="0" w:name="_Toc27502_WPSOffice_Level1"/>
      <w:bookmarkStart w:id="1" w:name="_Toc26427_WPSOffice_Level1"/>
    </w:p>
    <w:p>
      <w:pPr>
        <w:pStyle w:val="8"/>
        <w:spacing w:line="360" w:lineRule="auto"/>
        <w:ind w:left="0"/>
        <w:outlineLvl w:val="0"/>
        <w:rPr>
          <w:rFonts w:asciiTheme="minorEastAsia" w:hAnsiTheme="minorEastAsia" w:eastAsiaTheme="minorEastAsia" w:cstheme="minorEastAsia"/>
          <w:b/>
          <w:bCs/>
        </w:rPr>
      </w:pPr>
      <w:bookmarkStart w:id="2" w:name="_Toc28895"/>
      <w:r>
        <w:rPr>
          <w:rFonts w:hint="eastAsia" w:asciiTheme="minorEastAsia" w:hAnsiTheme="minorEastAsia" w:eastAsiaTheme="minorEastAsia" w:cstheme="minorEastAsia"/>
          <w:b/>
          <w:bCs/>
        </w:rPr>
        <w:t>1 总则</w:t>
      </w:r>
      <w:bookmarkEnd w:id="0"/>
      <w:bookmarkEnd w:id="1"/>
      <w:bookmarkEnd w:id="2"/>
    </w:p>
    <w:p>
      <w:pPr>
        <w:pStyle w:val="8"/>
        <w:spacing w:line="360" w:lineRule="auto"/>
        <w:ind w:left="0"/>
        <w:outlineLvl w:val="1"/>
        <w:rPr>
          <w:rFonts w:asciiTheme="minorEastAsia" w:hAnsiTheme="minorEastAsia" w:eastAsiaTheme="minorEastAsia" w:cstheme="minorEastAsia"/>
          <w:b/>
          <w:bCs/>
          <w:sz w:val="28"/>
          <w:szCs w:val="28"/>
        </w:rPr>
      </w:pPr>
      <w:bookmarkStart w:id="3" w:name="_Toc2078_WPSOffice_Level2"/>
      <w:bookmarkStart w:id="4" w:name="_Toc3803"/>
      <w:bookmarkStart w:id="5" w:name="_Toc17343_WPSOffice_Level2"/>
      <w:bookmarkStart w:id="6" w:name="_Toc294080707"/>
      <w:bookmarkStart w:id="7" w:name="_Toc295467913"/>
      <w:bookmarkStart w:id="8" w:name="_Toc29726"/>
      <w:bookmarkStart w:id="9" w:name="_Toc13902_WPSOffice_Level2"/>
      <w:bookmarkStart w:id="10" w:name="_Toc15488_WPSOffice_Level2"/>
      <w:r>
        <w:rPr>
          <w:rFonts w:hint="eastAsia" w:asciiTheme="minorEastAsia" w:hAnsiTheme="minorEastAsia" w:eastAsiaTheme="minorEastAsia" w:cstheme="minorEastAsia"/>
          <w:b/>
          <w:bCs/>
          <w:sz w:val="28"/>
          <w:szCs w:val="28"/>
        </w:rPr>
        <w:t>1.1 编制目的</w:t>
      </w:r>
      <w:bookmarkEnd w:id="3"/>
      <w:bookmarkEnd w:id="4"/>
      <w:bookmarkEnd w:id="5"/>
      <w:bookmarkEnd w:id="6"/>
      <w:bookmarkEnd w:id="7"/>
      <w:bookmarkEnd w:id="8"/>
      <w:bookmarkEnd w:id="9"/>
      <w:bookmarkEnd w:id="10"/>
    </w:p>
    <w:p>
      <w:pPr>
        <w:pStyle w:val="8"/>
        <w:spacing w:line="360" w:lineRule="auto"/>
        <w:ind w:left="0" w:firstLine="560" w:firstLineChars="200"/>
        <w:rPr>
          <w:rFonts w:asciiTheme="minorEastAsia" w:hAnsiTheme="minorEastAsia" w:eastAsiaTheme="minorEastAsia" w:cstheme="minorEastAsia"/>
          <w:sz w:val="28"/>
          <w:szCs w:val="28"/>
          <w:lang w:val="en-US"/>
        </w:rPr>
      </w:pPr>
      <w:bookmarkStart w:id="11" w:name="_Toc31986_WPSOffice_Level2"/>
      <w:bookmarkStart w:id="12" w:name="_Toc295467914"/>
      <w:bookmarkStart w:id="13" w:name="_Toc19232_WPSOffice_Level2"/>
      <w:bookmarkStart w:id="14" w:name="_Toc25354"/>
      <w:bookmarkStart w:id="15" w:name="_Toc13297_WPSOffice_Level2"/>
      <w:bookmarkStart w:id="16" w:name="_Toc294080708"/>
      <w:bookmarkStart w:id="17" w:name="_Toc11301_WPSOffice_Level2"/>
      <w:r>
        <w:rPr>
          <w:rFonts w:hint="eastAsia" w:asciiTheme="minorEastAsia" w:hAnsiTheme="minorEastAsia" w:eastAsiaTheme="minorEastAsia" w:cstheme="minorEastAsia"/>
          <w:sz w:val="28"/>
          <w:szCs w:val="28"/>
          <w:lang w:val="en-US"/>
        </w:rPr>
        <w:t>为建立健全水环境污染事件应急机制，有效预防和减少突发环境事件的发生，快速、科学地进行突发环境事件的应急处置， 全面提高应对全镇集中式地表水饮用水水源地（以下简称水源地）突发环境事件的能力，有效应对辖区内水源地突发环境事件，最大程度降低突发环境事件对水源地水质影响，规范水源地突发环境事件应对的各项工作，特制定本预案。</w:t>
      </w:r>
    </w:p>
    <w:p>
      <w:pPr>
        <w:pStyle w:val="8"/>
        <w:spacing w:line="360" w:lineRule="auto"/>
        <w:ind w:left="0"/>
        <w:outlineLvl w:val="1"/>
        <w:rPr>
          <w:rFonts w:asciiTheme="minorEastAsia" w:hAnsiTheme="minorEastAsia" w:eastAsiaTheme="minorEastAsia" w:cstheme="minorEastAsia"/>
          <w:b/>
          <w:bCs/>
          <w:sz w:val="28"/>
          <w:szCs w:val="28"/>
        </w:rPr>
      </w:pPr>
      <w:bookmarkStart w:id="18" w:name="_Toc22398"/>
      <w:r>
        <w:rPr>
          <w:rFonts w:hint="eastAsia" w:asciiTheme="minorEastAsia" w:hAnsiTheme="minorEastAsia" w:eastAsiaTheme="minorEastAsia" w:cstheme="minorEastAsia"/>
          <w:b/>
          <w:bCs/>
          <w:sz w:val="28"/>
          <w:szCs w:val="28"/>
        </w:rPr>
        <w:t>1.2 编制依据</w:t>
      </w:r>
      <w:bookmarkEnd w:id="11"/>
      <w:bookmarkEnd w:id="12"/>
      <w:bookmarkEnd w:id="13"/>
      <w:bookmarkEnd w:id="14"/>
      <w:bookmarkEnd w:id="15"/>
      <w:bookmarkEnd w:id="16"/>
      <w:bookmarkEnd w:id="17"/>
      <w:bookmarkEnd w:id="18"/>
    </w:p>
    <w:p>
      <w:pPr>
        <w:pStyle w:val="8"/>
        <w:spacing w:line="360" w:lineRule="auto"/>
        <w:ind w:left="0"/>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1.2.1法律及法规</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1）《中华人民共和国突发事件应对法》  （主席令第69号，2007-11-01）；</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2）《中华人民共和国环境保护法》（主席令第9号，2015-01-01）；</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3） 《中华人民共和国水污染防治法》（主席令第70号，2018-01-01）；</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4）《国家环境保护局、卫生部、建设部、水利部、地矿部饮用水水源保护区污染防治管理规定》（2010 年修正）；</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5）《国务院办公厅关于印发〈突发事件应急预案管理办法〉的通知》（国办发﹝2013﹞101 号）；</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6）《国务院办公厅关于印发〈国家突发环境事件应急预案〉的通知》（国办函﹝2014﹞119 号）；</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7）《环境保护部关于印发〈企业事业单位突发环境事件应急预案备案管理办法（试行）〉的通知》（环发﹝2015﹞4 号）；</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8）《环境保护部办公厅关于印发〈集中式地表饮用水水源地环境应急管理工作指南〉的通知》（环办﹝2011﹞93 号）；</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9）《环境保护部办公厅关于印发〈集中式饮用水水源环境保护指南（试行）〉的通知》（环办〔2012〕50 号）；</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10）《环境保护部办公厅关于印发〈行政区域突发环境事件风险评估推荐方法〉的通知》（环办应急﹝2018﹞9号）；</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11）《生态环境部集中式地表水饮用水水源地突发环境事件应急预案编制指南（试行）》（生态环境部公告 2018年第1号）；</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12）《环境保护部突发环境事件信息报告办法》（环境保护部令第 17 号）；</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13）《环境保护部突发环境事件应急管理办法》（环境保护部令第 34 号）；</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14）《重庆市突发事件应对条例》（重庆市人民代表大会常务委员会公告[2012]9号，2012-07-01）；</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15）《重庆市环境保护条例》（重庆市人民代表大会常务委员会公告〔2017〕第11号，2017-06-01）。</w:t>
      </w:r>
    </w:p>
    <w:p>
      <w:pPr>
        <w:pStyle w:val="8"/>
        <w:spacing w:line="360" w:lineRule="auto"/>
        <w:ind w:left="0"/>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lang w:val="en-US"/>
        </w:rPr>
        <w:t>1.2.2</w:t>
      </w:r>
      <w:r>
        <w:rPr>
          <w:rFonts w:hint="eastAsia" w:asciiTheme="minorEastAsia" w:hAnsiTheme="minorEastAsia" w:eastAsiaTheme="minorEastAsia" w:cstheme="minorEastAsia"/>
          <w:b/>
          <w:bCs/>
          <w:sz w:val="28"/>
          <w:szCs w:val="28"/>
        </w:rPr>
        <w:t>技术标准规范</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1）《地表水环境质量标准》（GB3838—2002）；</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2）《地下水质量标准》（GB/T14848—2017）；</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3）《突发环境事件应急监测技术规范》（HJ589—2010）；</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4）《集中式饮用水水源地规范化建设环境保护技术要求》（HJ773—2015）；</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5）《企业突发环境事件风险分级方法》（HJ941—2018）。</w:t>
      </w:r>
    </w:p>
    <w:p>
      <w:pPr>
        <w:pStyle w:val="8"/>
        <w:spacing w:line="360" w:lineRule="auto"/>
        <w:ind w:left="0"/>
        <w:rPr>
          <w:rFonts w:asciiTheme="minorEastAsia" w:hAnsiTheme="minorEastAsia" w:eastAsiaTheme="minorEastAsia" w:cstheme="minorEastAsia"/>
          <w:b/>
          <w:bCs/>
          <w:sz w:val="28"/>
          <w:szCs w:val="28"/>
          <w:lang w:val="en-US"/>
        </w:rPr>
      </w:pPr>
      <w:r>
        <w:rPr>
          <w:rFonts w:hint="eastAsia" w:asciiTheme="minorEastAsia" w:hAnsiTheme="minorEastAsia" w:eastAsiaTheme="minorEastAsia" w:cstheme="minorEastAsia"/>
          <w:b/>
          <w:bCs/>
          <w:sz w:val="28"/>
          <w:szCs w:val="28"/>
          <w:lang w:val="en-US"/>
        </w:rPr>
        <w:t>1.2.3其他资料</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1）《重庆市人民政府关于印发〈重庆市饮用水水源保护区划分规定〉的通知》（渝府发〔2002〕83 号）；</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2）《重庆市人民政府办公厅关于调整万州区等 31 个区县（自治县）集中式饮用水水源保护区的通知》（渝府办〔2013〕40 号）；</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3）《重庆市人民政府办公厅关于调整万州区等 36 个区县（自治县）集中式饮用水水源保护区的通知》（渝府办〔2016〕19 号）；</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4）《重庆市人民政府办公厅关于印发万州区等区县（开发区）集中式饮用水水源地保护区划分及调整方案的通知》（渝府办〔2018〕7 号）。</w:t>
      </w:r>
    </w:p>
    <w:p>
      <w:pPr>
        <w:pStyle w:val="8"/>
        <w:spacing w:line="360" w:lineRule="auto"/>
        <w:ind w:left="0"/>
        <w:outlineLvl w:val="1"/>
        <w:rPr>
          <w:rFonts w:asciiTheme="minorEastAsia" w:hAnsiTheme="minorEastAsia" w:eastAsiaTheme="minorEastAsia" w:cstheme="minorEastAsia"/>
          <w:b/>
          <w:bCs/>
          <w:sz w:val="28"/>
          <w:szCs w:val="28"/>
          <w:lang w:val="en-US"/>
        </w:rPr>
      </w:pPr>
      <w:bookmarkStart w:id="19" w:name="_Toc6721"/>
      <w:r>
        <w:rPr>
          <w:rFonts w:hint="eastAsia" w:asciiTheme="minorEastAsia" w:hAnsiTheme="minorEastAsia" w:eastAsiaTheme="minorEastAsia" w:cstheme="minorEastAsia"/>
          <w:b/>
          <w:bCs/>
          <w:sz w:val="28"/>
          <w:szCs w:val="28"/>
          <w:lang w:val="en-US"/>
        </w:rPr>
        <w:t>1.3 适用范围</w:t>
      </w:r>
      <w:bookmarkEnd w:id="19"/>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本预案适用于满月镇饮用水源九重山满月河，因环境威胁或造成饮用水源地取水中断的突发事件的预警、控制和应急处置。饮用水源突发环境事件包括：</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1）生物性污染：一切以水源为传播途径的致病微生物和寄生虫等污染饮用水源，由此可能导致或已经出现腹泻、伤寒、霍乱、甲型肝炎等肠道传染病暴发流行的污染事件。</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2）其他突发性环境水污染事故。如干旱、洪水、季节性断流等。</w:t>
      </w:r>
    </w:p>
    <w:p>
      <w:pPr>
        <w:pStyle w:val="8"/>
        <w:spacing w:line="360" w:lineRule="auto"/>
        <w:ind w:left="0"/>
        <w:outlineLvl w:val="1"/>
        <w:rPr>
          <w:rFonts w:asciiTheme="minorEastAsia" w:hAnsiTheme="minorEastAsia" w:eastAsiaTheme="minorEastAsia" w:cstheme="minorEastAsia"/>
          <w:b/>
          <w:bCs/>
          <w:sz w:val="28"/>
          <w:szCs w:val="28"/>
        </w:rPr>
      </w:pPr>
      <w:bookmarkStart w:id="20" w:name="_Toc11439_WPSOffice_Level2"/>
      <w:bookmarkStart w:id="21" w:name="_Toc2498_WPSOffice_Level2"/>
      <w:bookmarkStart w:id="22" w:name="_Toc19006"/>
      <w:bookmarkStart w:id="23" w:name="_Toc30067_WPSOffice_Level2"/>
      <w:bookmarkStart w:id="24" w:name="_Toc28536_WPSOffice_Level2"/>
      <w:bookmarkStart w:id="25" w:name="_Toc11939"/>
      <w:r>
        <w:rPr>
          <w:rFonts w:hint="eastAsia" w:asciiTheme="minorEastAsia" w:hAnsiTheme="minorEastAsia" w:eastAsiaTheme="minorEastAsia" w:cstheme="minorEastAsia"/>
          <w:b/>
          <w:bCs/>
          <w:sz w:val="28"/>
          <w:szCs w:val="28"/>
        </w:rPr>
        <w:t>1.</w:t>
      </w:r>
      <w:r>
        <w:rPr>
          <w:rFonts w:hint="eastAsia" w:asciiTheme="minorEastAsia" w:hAnsiTheme="minorEastAsia" w:eastAsiaTheme="minorEastAsia" w:cstheme="minorEastAsia"/>
          <w:b/>
          <w:bCs/>
          <w:sz w:val="28"/>
          <w:szCs w:val="28"/>
          <w:lang w:val="en-US"/>
        </w:rPr>
        <w:t>4</w:t>
      </w:r>
      <w:r>
        <w:rPr>
          <w:rFonts w:hint="eastAsia" w:asciiTheme="minorEastAsia" w:hAnsiTheme="minorEastAsia" w:eastAsiaTheme="minorEastAsia" w:cstheme="minorEastAsia"/>
          <w:b/>
          <w:bCs/>
          <w:sz w:val="28"/>
          <w:szCs w:val="28"/>
        </w:rPr>
        <w:t xml:space="preserve"> 应急预案体系</w:t>
      </w:r>
      <w:bookmarkEnd w:id="20"/>
      <w:bookmarkEnd w:id="21"/>
      <w:bookmarkEnd w:id="22"/>
      <w:bookmarkEnd w:id="23"/>
      <w:bookmarkEnd w:id="24"/>
      <w:bookmarkEnd w:id="25"/>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本预案为《重庆市开州区满月镇饮用水水源地突发环境事件应急预案》，该预案和《重庆市开州区饮用水水源地突发环境事件应急预案》、《重庆清泉水务有限公司满月自来水厂突发事故应急预案》相衔接。</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应急预案体系组成结构见：图1.5-1。</w:t>
      </w:r>
    </w:p>
    <w:p>
      <w:pPr>
        <w:pStyle w:val="8"/>
        <w:spacing w:line="360" w:lineRule="auto"/>
        <w:ind w:left="0"/>
        <w:rPr>
          <w:rFonts w:asciiTheme="minorEastAsia" w:hAnsiTheme="minorEastAsia" w:eastAsiaTheme="minorEastAsia" w:cstheme="minorEastAsia"/>
          <w:sz w:val="28"/>
          <w:szCs w:val="28"/>
        </w:rPr>
      </w:pPr>
      <w:r>
        <w:rPr>
          <w:sz w:val="28"/>
        </w:rPr>
        <w:pict>
          <v:group id="_x0000_s2071" o:spid="_x0000_s2071" o:spt="203" style="position:absolute;left:0pt;margin-left:60.5pt;margin-top:5.7pt;height:218.4pt;width:340.3pt;z-index:251665408;mso-width-relative:page;mso-height-relative:page;" coordorigin="17483,53200" coordsize="6806,4368203" o:gfxdata="UEsDBAoAAAAAAIdO4kAAAAAAAAAAAAAAAAAEAAAAZHJzL1BLAwQUAAAACACHTuJALAoYpdkAAAAK&#10;AQAADwAAAGRycy9kb3ducmV2LnhtbE2PQUvDQBCF74L/YRnBm93dGEuI2RQp6qkItoJ42ybTJDQ7&#10;G7LbpP33jid7m8c83vtesTq7Xkw4hs6TAb1QIJAqX3fUGPjavT1kIEK0VNveExq4YIBVeXtT2Lz2&#10;M33itI2N4BAKuTXQxjjkUoaqRWfDwg9I/Dv40dnIcmxkPdqZw10vE6WW0tmOuKG1A65brI7bkzPw&#10;Ptv55VG/TpvjYX352T19fG80GnN/p9UziIjn+G+GP3xGh5KZ9v5EdRA960TzlsiHTkGwIVN6CWJv&#10;IE2zBGRZyOsJ5S9QSwMEFAAAAAgAh07iQI5kj/t3BAAAaBAAAA4AAABkcnMvZTJvRG9jLnhtbO1Y&#10;y24kNRTdI/EPVu1Jd1U/00pnFHUmASliIoXH2qlyPaQq29judIf1LFgh9kggIUBCAlazQ4ivCcNn&#10;cHyrujrpdEYNKKMRml5U/Lz2PT73+DoHT5ZVya6EsYWS0yDc6wZMyFglhcymwccfnbw3Dph1XCa8&#10;VFJMg2thgyeH775zsNATEalclYkwDEaknSz0NMid05NOx8a5qLjdU1pIdKbKVNyharJOYvgC1quy&#10;E3W7w85CmUQbFQtr0XpcdwaNRbOLQZWmRSyOVTyvhHS1VSNK7uCSzQttg0PabZqK2D1LUyscK6cB&#10;PHX0xSIoX/pv5/CATzLDdV7EzRb4LlvY8KnihcSiralj7jibm+KeqaqIjbIqdXuxqjq1I4QIvAi7&#10;G9icGjXX5Es2WWS6BR0HtYH6vzYbf3h1bliRTIN+FDDJK5z4y9+e33z1BUMD0FnobIJBp0Zf6HPT&#10;NGR1zTu8TE3l/8IVtiRcr1tcxdKxGI39XhSOQ0Aeoy8ajXrDcYN8nON4/Lxw1B/3Aob+QQ8sqc8l&#10;zp82FjBhWE/vY7Lv7ayW7vgdthtaaLDSrqGy/w2qi5xrQSdgPQoNVNGoherbn25+/46hgZChQS1O&#10;dmIB2RaQwtGwBxN3nV2BNRz0G6QGtdnWUz7RxrpToSrmC9PAgN7EOn51Zl0NymqIX9aqskhOirKk&#10;iskuZ6VhVxyhcEK/Bsc7w0rJFtNgfxANgDdHfKeIKxQrDY5YmdF6d2bY24a79Ntm2G/smNu83gBZ&#10;8MP4pCqcMFTKBU+eyoS5aw0aSshP4DdTiSRgpYBa+RKNdLwodxkJ7ErpFxGkBQ1KniT10fiSW14u&#10;YdQXL1VyjTOea1NkOQAOyZGGU/WQxydXy62vX/z55Q8vf/3l5vsXf/3xjS///CNrgpKYNpNNRK7c&#10;qWOCpWWh3/e7p9InvuQxaEI06o73EevEvtFwvwZ0xb4eJvkoDcNhj5xfhdk98llnuEdppqQED5Wp&#10;F3mAilJ5HtLZ1Qwb9gae5tsYxniZ4bBjZx6JbKwsqmkwbqnKJ3f5xI1Ri+3U24VQNYvgK6SJ1Og1&#10;MQf62Qh4rUp0gH4LUK5dRKlV4P5+RHMRNmv99XoAYoyGw1fz4vFEKYxGuBneEM7sQoT7ymIUVAU+&#10;WB2fFBDEM27dOTdIOdCIpMw9wyctFVRPNaWA5cp8vq3dj8f1hl5wFSkM9PmzOTcQzfIDiYtvP+z7&#10;q8RRpT8YRaiY2z2Xt3vkvJopXA0QAOyOin68K1fF1KjqU+RuR35VdHEZY+06TpvKzNWpFbK/WBwd&#10;0TDkOZq7M3mh45UQSXU0dyot6Mpa6+7rD5h1ytNEzG113S1kEBZeSZGg0Ny3IUMaT3f6psy+DZn/&#10;QciA780lszU96Q387dBcOj4/odTTzZaSHhm4oooE6f4qVmTS9iAWqYtyf7o5cW3VFry5B1JpJDNj&#10;vAx8CCIGN5IZmKxzmfDNz2UezshfnThvBtk/z2UI63U6vCV7oScWHqD06moey/6Fe7tO4r3+B8Hh&#10;3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kG&#10;AABbQ29udGVudF9UeXBlc10ueG1sUEsBAhQACgAAAAAAh07iQAAAAAAAAAAAAAAAAAYAAAAAAAAA&#10;AAAQAAAAywUAAF9yZWxzL1BLAQIUABQAAAAIAIdO4kCKFGY80QAAAJQBAAALAAAAAAAAAAEAIAAA&#10;AO8FAABfcmVscy8ucmVsc1BLAQIUAAoAAAAAAIdO4kAAAAAAAAAAAAAAAAAEAAAAAAAAAAAAEAAA&#10;AAAAAABkcnMvUEsBAhQAFAAAAAgAh07iQCwKGKXZAAAACgEAAA8AAAAAAAAAAQAgAAAAIgAAAGRy&#10;cy9kb3ducmV2LnhtbFBLAQIUABQAAAAIAIdO4kCOZI/7dwQAAGgQAAAOAAAAAAAAAAEAIAAAACgB&#10;AABkcnMvZTJvRG9jLnhtbFBLBQYAAAAABgAGAFkBAAARCAAAAAA=&#10;">
            <o:lock v:ext="edit"/>
            <v:rect id="_x0000_s1026" o:spid="_x0000_s1026" o:spt="1" style="position:absolute;left:17637;top:53200;height:527;width:6540;" coordsize="21600,21600" o:gfxdata="UEsDBAoAAAAAAIdO4kAAAAAAAAAAAAAAAAAEAAAAZHJzL1BLAwQUAAAACACHTuJAxBlMWL0AAADb&#10;AAAADwAAAGRycy9kb3ducmV2LnhtbEWPwW7CMBBE75X4B2uReit2UqmUgMOhFVV7hHDpbYmXJBCv&#10;o9hA4OvrSkgcRzPzRrNYDrYVZ+p941hDMlEgiEtnGq40bIvVyzsIH5ANto5Jw5U8LPPR0wIz4y68&#10;pvMmVCJC2GeooQ6hy6T0ZU0W/cR1xNHbu95iiLKvpOnxEuG2lalSb9Jiw3Ghxo4+aiqPm5PVsGvS&#10;Ld7WxZeys9Vr+BmKw+n3U+vncaLmIAIN4RG+t7+NhnQK/1/iD5D5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EGUxYvQAA&#10;ANsAAAAPAAAAAAAAAAEAIAAAACIAAABkcnMvZG93bnJldi54bWxQSwECFAAUAAAACACHTuJAMy8F&#10;njsAAAA5AAAAEAAAAAAAAAABACAAAAAMAQAAZHJzL3NoYXBleG1sLnhtbFBLBQYAAAAABgAGAFsB&#10;AAC2AwAAAAA=&#10;">
              <v:path/>
              <v:fill focussize="0,0"/>
              <v:stroke/>
              <v:imagedata o:title=""/>
              <o:lock v:ext="edit"/>
              <v:textbox>
                <w:txbxContent>
                  <w:p>
                    <w:pPr>
                      <w:jc w:val="center"/>
                    </w:pPr>
                    <w:r>
                      <w:rPr>
                        <w:rFonts w:hint="eastAsia" w:ascii="宋体" w:hAnsi="宋体"/>
                      </w:rPr>
                      <w:t>《重庆市开州区饮用水水源地突发环境</w:t>
                    </w:r>
                    <w:r>
                      <w:t>事件应急预案</w:t>
                    </w:r>
                    <w:r>
                      <w:rPr>
                        <w:rFonts w:hint="eastAsia"/>
                      </w:rPr>
                      <w:t>》</w:t>
                    </w:r>
                  </w:p>
                </w:txbxContent>
              </v:textbox>
            </v:rect>
            <v:shape id="_x0000_s2075" o:spid="_x0000_s2075" o:spt="32" type="#_x0000_t32" style="position:absolute;left:20892;top:53769;flip:x y;height:1163;width:31;" filled="f" coordsize="21600,21600" o:gfxdata="UEsDBAoAAAAAAIdO4kAAAAAAAAAAAAAAAAAEAAAAZHJzL1BLAwQUAAAACACHTuJAgZtL87oAAADa&#10;AAAADwAAAGRycy9kb3ducmV2LnhtbEWPT4vCMBTE7wt+h/AEb2uiB5VqFBEExdN2l54fzbMtNi+h&#10;SeufT79ZWPA4zMxvmM3uYVsxUBcaxxpmUwWCuHSm4UrDz/fxcwUiRGSDrWPS8KQAu+3oY4OZcXf+&#10;oiGPlUgQDhlqqGP0mZShrMlimDpPnLyr6yzGJLtKmg7vCW5bOVdqIS02nBZq9HSoqbzlvdXwGgbf&#10;F0e198Ff7DI/F6tFX2g9Gc/UGkSkR3yH/9sno2EOf1fSDZDb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Bm0vzugAAANoA&#10;AAAPAAAAAAAAAAEAIAAAACIAAABkcnMvZG93bnJldi54bWxQSwECFAAUAAAACACHTuJAMy8FnjsA&#10;AAA5AAAAEAAAAAAAAAABACAAAAAJAQAAZHJzL3NoYXBleG1sLnhtbFBLBQYAAAAABgAGAFsBAACz&#10;AwAAAAA=&#10;">
              <v:path arrowok="t"/>
              <v:fill on="f" focussize="0,0"/>
              <v:stroke weight="0.5pt" joinstyle="miter" endarrow="open"/>
              <v:imagedata o:title=""/>
              <o:lock v:ext="edit"/>
            </v:shape>
            <v:rect id="_x0000_s2074" o:spid="_x0000_s2074" o:spt="1" style="position:absolute;left:17483;top:54923;height:766;width:6805;v-text-anchor:middle;" coordsize="21600,21600" o:gfxdata="UEsDBAoAAAAAAIdO4kAAAAAAAAAAAAAAAAAEAAAAZHJzL1BLAwQUAAAACACHTuJA/eE3absAAADa&#10;AAAADwAAAGRycy9kb3ducmV2LnhtbEWPQYvCMBSE7wv+h/CEvdlEhUWq0YMoePDS7h7W26N5tsXm&#10;pTTRtv76jSDscZiZb5jNbrCNeFDna8ca5okCQVw4U3Op4ef7OFuB8AHZYOOYNIzkYbedfGwwNa7n&#10;jB55KEWEsE9RQxVCm0rpi4os+sS1xNG7us5iiLIrpemwj3DbyIVSX9JizXGhwpb2FRW3/G41YD5c&#10;xnH87XuZNao+PLM2P2daf07nag0i0BD+w+/2yWhYwutKvAFy+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E3absAAADa&#10;AAAADwAAAAAAAAABACAAAAAiAAAAZHJzL2Rvd25yZXYueG1sUEsBAhQAFAAAAAgAh07iQDMvBZ47&#10;AAAAOQAAABAAAAAAAAAAAQAgAAAACgEAAGRycy9zaGFwZXhtbC54bWxQSwUGAAAAAAYABgBbAQAA&#10;tAMAAAAA&#10;">
              <v:path/>
              <v:fill focussize="0,0"/>
              <v:stroke weight="1pt"/>
              <v:imagedata o:title=""/>
              <o:lock v:ext="edit"/>
              <v:textbox>
                <w:txbxContent>
                  <w:p>
                    <w:pPr>
                      <w:jc w:val="center"/>
                    </w:pPr>
                    <w:r>
                      <w:rPr>
                        <w:rFonts w:hint="eastAsia"/>
                      </w:rPr>
                      <w:t>《</w:t>
                    </w:r>
                    <w:r>
                      <w:t>重庆市开州区</w:t>
                    </w:r>
                    <w:r>
                      <w:rPr>
                        <w:rFonts w:hint="eastAsia"/>
                      </w:rPr>
                      <w:t>满月镇集中式地表水</w:t>
                    </w:r>
                    <w:r>
                      <w:t>饮用水水源地突发环境事件应急预案</w:t>
                    </w:r>
                    <w:r>
                      <w:rPr>
                        <w:rFonts w:hint="eastAsia"/>
                      </w:rPr>
                      <w:t>》</w:t>
                    </w:r>
                  </w:p>
                </w:txbxContent>
              </v:textbox>
            </v:rect>
            <v:rect id="_x0000_s2073" o:spid="_x0000_s2073" o:spt="1" style="position:absolute;left:17485;top:56802;height:766;width:6805;v-text-anchor:middle;" coordsize="21600,21600" o:gfxdata="UEsDBAoAAAAAAIdO4kAAAAAAAAAAAAAAAAAEAAAAZHJzL1BLAwQUAAAACACHTuJAbL9lrb0AAADb&#10;AAAADwAAAGRycy9kb3ducmV2LnhtbEWPzWrDMBCE74G8g9hAbo0UF0Jxo+RQGuihFzs5pLfF2lqm&#10;1spYin/69FGhkOMwM98w++PkWjFQHxrPGrYbBYK48qbhWsPlfHp6AREissHWM2mYKcDxsFzsMTd+&#10;5IKGMtYiQTjkqMHG2OVShsqSw7DxHXHyvn3vMCbZ19L0OCa4a2Wm1E46bDgtWOzozVL1U96cBiyn&#10;r3mer+Moi1Y1779FV34WWq9XW/UKItIUH+H/9ofR8JzB35f0A+Th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sv2WtvQAA&#10;ANsAAAAPAAAAAAAAAAEAIAAAACIAAABkcnMvZG93bnJldi54bWxQSwECFAAUAAAACACHTuJAMy8F&#10;njsAAAA5AAAAEAAAAAAAAAABACAAAAAMAQAAZHJzL3NoYXBleG1sLnhtbFBLBQYAAAAABgAGAFsB&#10;AAC2AwAAAAA=&#10;">
              <v:path/>
              <v:fill focussize="0,0"/>
              <v:stroke weight="1pt"/>
              <v:imagedata o:title=""/>
              <o:lock v:ext="edit"/>
              <v:textbox>
                <w:txbxContent>
                  <w:p>
                    <w:pPr>
                      <w:jc w:val="center"/>
                    </w:pPr>
                    <w:r>
                      <w:rPr>
                        <w:rFonts w:hint="eastAsia"/>
                      </w:rPr>
                      <w:t>《重庆清泉水务有限公司满月自来水厂突发事故应急预案》</w:t>
                    </w:r>
                  </w:p>
                </w:txbxContent>
              </v:textbox>
            </v:rect>
            <v:shape id="_x0000_s2072" o:spid="_x0000_s2072" o:spt="32" type="#_x0000_t32" style="position:absolute;left:20886;top:55689;height:1113;width:2;" filled="f" stroked="t" coordsize="21600,21600" o:gfxdata="UEsDBAoAAAAAAIdO4kAAAAAAAAAAAAAAAAAEAAAAZHJzL1BLAwQUAAAACACHTuJAS04SCr4AAADb&#10;AAAADwAAAGRycy9kb3ducmV2LnhtbEWPW2vCQBSE3wX/w3KEvhTd2Euo0Y30gmj7Vu0POGSPue7Z&#10;kN0m+u9dQfBxmJlvmNX6ZBrRU+dKywrmswgEcWZ1ybmCv8Nm+gbCeWSNjWVScCYH63Q8WmGi7cC/&#10;1O99LgKEXYIKCu/bREqXFWTQzWxLHLyj7Qz6ILtc6g6HADeNfIqiWBosOSwU2NJnQVm9/zcKjtV3&#10;/PGSVT9bdzaPu8V7bb+aWqmHyTxagvB08vfwrb3TCp5f4fol/ACZX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04SCr4A&#10;AADbAAAADwAAAAAAAAABACAAAAAiAAAAZHJzL2Rvd25yZXYueG1sUEsBAhQAFAAAAAgAh07iQDMv&#10;BZ47AAAAOQAAABAAAAAAAAAAAQAgAAAADQEAAGRycy9zaGFwZXhtbC54bWxQSwUGAAAAAAYABgBb&#10;AQAAtwMAAAAA&#10;">
              <v:path arrowok="t"/>
              <v:fill on="f" focussize="0,0"/>
              <v:stroke weight="0.5pt" color="#000000" joinstyle="miter" endarrow="open"/>
              <v:imagedata o:title=""/>
              <o:lock v:ext="edit"/>
            </v:shape>
          </v:group>
        </w:pict>
      </w:r>
    </w:p>
    <w:p>
      <w:pPr>
        <w:pStyle w:val="8"/>
        <w:spacing w:line="360" w:lineRule="auto"/>
        <w:ind w:left="0"/>
        <w:rPr>
          <w:rFonts w:asciiTheme="minorEastAsia" w:hAnsiTheme="minorEastAsia" w:eastAsiaTheme="minorEastAsia" w:cstheme="minorEastAsia"/>
          <w:sz w:val="28"/>
          <w:szCs w:val="28"/>
        </w:rPr>
      </w:pPr>
      <w:r>
        <w:rPr>
          <w:sz w:val="28"/>
        </w:rPr>
        <w:pict>
          <v:shape id="_x0000_s2070" o:spid="_x0000_s2070" o:spt="202" type="#_x0000_t202" style="position:absolute;left:0pt;margin-left:243.4pt;margin-top:23.7pt;height:24.35pt;width:57.65pt;z-index:251666432;mso-width-relative:page;mso-height-relative:page;" fillcolor="#FFFFFF" filled="t" stroked="f" coordsize="21600,21600" o:gfxdata="UEsDBAoAAAAAAIdO4kAAAAAAAAAAAAAAAAAEAAAAZHJzL1BLAwQUAAAACACHTuJANj/YhNUAAAAJ&#10;AQAADwAAAGRycy9kb3ducmV2LnhtbE2PzU7DMBCE70i8g7WVuFHbVRTaEKcHJK5ItKVnN17iqPY6&#10;st3fp8ec4LajHc18066v3rEzxjQGUiDnAhhSH8xIg4Ld9v15CSxlTUa7QKjghgnW3eNDqxsTLvSJ&#10;500eWAmh1GgFNuep4Tz1Fr1O8zAhld93iF7nIuPATdSXEu4dXwhRc69HKg1WT/hmsT9uTl7BfvD3&#10;/ZecojXeVfRxv213YVTqaSbFK7CM1/xnhl/8gg5dYTqEE5nEnIJqWRf0XI6XClgx1GIhgR0UrGoJ&#10;vGv5/wXdD1BLAwQUAAAACACHTuJASQ4EJFsCAACcBAAADgAAAGRycy9lMm9Eb2MueG1srVTBbhMx&#10;EL0j8Q+W73R3kyxpo26q0CoIqaKVCuLseL1ZS7bH2E52ywfAH3Diwp3v6ncw9m7aUjj0QA7O2PPy&#10;7PdmJqdnvVZkL5yXYCpaHOWUCMOhlmZb0Y8f1q+OKfGBmZopMKKit8LTs+XLF6edXYgJtKBq4QiS&#10;GL/obEXbEOwiyzxvhWb+CKwwmGzAaRZw67ZZ7ViH7Fplkzx/nXXgauuAC+/x9GJI0pHRPYcQmkZy&#10;cQF8p4UJA6sTigWU5FtpPV2m1zaN4OGqabwIRFUUlYa04iUYb+KaLU/ZYuuYbSUfn8Ce84QnmjST&#10;Bi+9p7pggZGdk39RackdeGjCEQedDUKSI6iiyJ94c9MyK5IWtNrbe9P9/6Pl7/fXjsi6orMpJYZp&#10;rPjd9293P37d/fxK8AwN6qxfIO7GIjL0b6DHtjmcezyMuvvG6fiNigjmZ3lRzmdo8i1i58VJeTxa&#10;LfpAOALm00lRlpRwBEzzk8msjIzZA5F1PrwVoEkMKuqwkslgtr/0YYAeIPFeD0rWa6lU2rjt5lw5&#10;smdY9XX6jOx/wJQhXUVfT8s8MRuIvx+olcHHRN2DvhiFftOPZmygvkUvHAzt5C1fS3zlJfPhmjns&#10;HxSOExaucGkU4CUwRpS04L786zzisayYpaTDfqyo/7xjTlCi3hks+Ekxi36GtJmV8wlu3OPM5nHG&#10;7PQ5oPgCZ9nyFEZ8UIewcaA/4SCu4q2YYobj3RUNh/A8DFOCg8zFapVA2LKWhUtzY3mkjlYbWO0C&#10;NDKVJNo0eDO6h02bijoOWJyKx/uEevhTWf4G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Nj/YhNUA&#10;AAAJAQAADwAAAAAAAAABACAAAAAiAAAAZHJzL2Rvd25yZXYueG1sUEsBAhQAFAAAAAgAh07iQEkO&#10;BCRbAgAAnAQAAA4AAAAAAAAAAQAgAAAAJAEAAGRycy9lMm9Eb2MueG1sUEsFBgAAAAAGAAYAWQEA&#10;APEFAAAAAA==&#10;">
            <v:path/>
            <v:fill on="t" focussize="0,0"/>
            <v:stroke on="f" weight="0.5pt" joinstyle="miter"/>
            <v:imagedata o:title=""/>
            <o:lock v:ext="edit"/>
            <v:textbox>
              <w:txbxContent>
                <w:p>
                  <w:r>
                    <w:rPr>
                      <w:rFonts w:hint="eastAsia" w:asciiTheme="minorEastAsia" w:hAnsiTheme="minorEastAsia" w:eastAsiaTheme="minorEastAsia" w:cstheme="minorEastAsia"/>
                    </w:rPr>
                    <w:t>衔接</w:t>
                  </w:r>
                </w:p>
              </w:txbxContent>
            </v:textbox>
          </v:shape>
        </w:pict>
      </w:r>
    </w:p>
    <w:p>
      <w:pPr>
        <w:pStyle w:val="8"/>
        <w:spacing w:line="360" w:lineRule="auto"/>
        <w:ind w:left="0"/>
        <w:rPr>
          <w:rFonts w:asciiTheme="minorEastAsia" w:hAnsiTheme="minorEastAsia" w:eastAsiaTheme="minorEastAsia" w:cstheme="minorEastAsia"/>
          <w:sz w:val="28"/>
          <w:szCs w:val="28"/>
        </w:rPr>
      </w:pPr>
    </w:p>
    <w:p>
      <w:pPr>
        <w:pStyle w:val="8"/>
        <w:spacing w:line="360" w:lineRule="auto"/>
        <w:ind w:left="0"/>
        <w:rPr>
          <w:rFonts w:asciiTheme="minorEastAsia" w:hAnsiTheme="minorEastAsia" w:eastAsiaTheme="minorEastAsia" w:cstheme="minorEastAsia"/>
          <w:sz w:val="28"/>
          <w:szCs w:val="28"/>
        </w:rPr>
      </w:pPr>
    </w:p>
    <w:p>
      <w:pPr>
        <w:pStyle w:val="8"/>
        <w:spacing w:line="360" w:lineRule="auto"/>
        <w:ind w:left="0"/>
        <w:outlineLvl w:val="1"/>
        <w:rPr>
          <w:rFonts w:asciiTheme="minorEastAsia" w:hAnsiTheme="minorEastAsia" w:eastAsiaTheme="minorEastAsia" w:cstheme="minorEastAsia"/>
          <w:b/>
          <w:bCs/>
          <w:sz w:val="28"/>
          <w:szCs w:val="28"/>
        </w:rPr>
      </w:pPr>
      <w:bookmarkStart w:id="26" w:name="_Toc27981_WPSOffice_Level2"/>
      <w:bookmarkStart w:id="27" w:name="_Toc880"/>
      <w:bookmarkStart w:id="28" w:name="_Toc13045_WPSOffice_Level2"/>
      <w:bookmarkStart w:id="29" w:name="_Toc11398_WPSOffice_Level2"/>
      <w:bookmarkStart w:id="30" w:name="_Toc24271"/>
      <w:bookmarkStart w:id="31" w:name="_Toc25884_WPSOffice_Level2"/>
      <w:r>
        <w:rPr>
          <w:sz w:val="28"/>
        </w:rPr>
        <w:pict>
          <v:shape id="_x0000_s2069" o:spid="_x0000_s2069" o:spt="202" type="#_x0000_t202" style="position:absolute;left:0pt;margin-left:237.25pt;margin-top:18.45pt;height:24.35pt;width:57.65pt;z-index:251667456;mso-width-relative:page;mso-height-relative:page;" fillcolor="#FFFFFF" filled="t" stroked="f" coordsize="21600,21600" o:gfxdata="UEsDBAoAAAAAAIdO4kAAAAAAAAAAAAAAAAAEAAAAZHJzL1BLAwQUAAAACACHTuJASDH5hNYAAAAJ&#10;AQAADwAAAGRycy9kb3ducmV2LnhtbE2Py07DMBBF90j8gzVI7KgTSEIaMukCiS0SbenajYc4Ih5H&#10;tvv8eswKlqM5uvfcdnW2kziSD6NjhHyRgSDunR55QNhu3h5qECEq1mpyTAgXCrDqbm9a1Wh34g86&#10;ruMgUgiHRiGYGOdGytAbsios3Eycfl/OWxXT6QepvTqlcDvJxyyrpFUjpwajZno11H+vDxZhN9jr&#10;7jOfvdF2Kvj9etls3Yh4f5dnLyAineMfDL/6SR265LR3B9ZBTAjFc1EmFOGpWoJIQFkv05Y9Ql1W&#10;ILtW/l/Q/QBQSwMEFAAAAAgAh07iQPIWqvhRAgAAkAQAAA4AAABkcnMvZTJvRG9jLnhtbK1UzW4T&#10;MRC+I/EOlu9089vSKJsqtApCqmilgjg7Xm92Ja/H2E52ywPAG3Diwp3n6nPw2Zu0pXDogRyc8cx4&#10;Zr5vZnZ+1jWa7ZTzNZmcD48GnCkjqajNJucfP6xevebMB2EKocmonN8qz88WL1/MWztTI6pIF8ox&#10;BDF+1tqcVyHYWZZ5WalG+COyysBYkmtEwNVtssKJFtEbnY0Gg+OsJVdYR1J5D+1Fb+T7iO45Aaks&#10;a6kuSG4bZUIf1SktAiD5qraeL1K1ZalkuCpLrwLTOQfSkE4kgbyOZ7aYi9nGCVvVcl+CeE4JTzA1&#10;ojZIeh/qQgTBtq7+K1RTS0eeynAkqcl6IIkRoBgOnnBzUwmrEhZQ7e096f7/hZXvd9eO1UXOJ1PO&#10;jGjQ8bvv3+5+/Lr7+ZVBB4Ja62fwu7HwDN0b6jA2B72HMuLuStfEfyBisIPe23t6VReYhPJkPBpO&#10;kUXCNB6cjvro2cNj63x4q6hhUci5Q/cSqWJ36QMKgevBJebypOtiVWudLm6zPteO7QQ6vUq/WCOe&#10;/OGmDWtzfjyeDlJkQ/F976cN3CPWHlOUQrfu9gSsqbgFfkf9CHkrVzWqvBQ+XAuHmQFkbFW4wlFq&#10;QhLaS5xV5L78Sx/90UpYOWsxgzn3n7fCKc70O4Mmnw4nkzi06TKZnoxwcY8t68cWs23OCeCH2F8r&#10;kxj9gz6IpaPmE5ZvGbPCJIxE7pyHg3ge+s3A8kq1XCYnjKkV4dLcWBlDR6oNLbeByjq1JNLUc7Nn&#10;D4OaaN8vVdyEx/fk9fAhWfwG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SDH5hNYAAAAJAQAADwAA&#10;AAAAAAABACAAAAAiAAAAZHJzL2Rvd25yZXYueG1sUEsBAhQAFAAAAAgAh07iQPIWqvhRAgAAkAQA&#10;AA4AAAAAAAAAAQAgAAAAJQEAAGRycy9lMm9Eb2MueG1sUEsFBgAAAAAGAAYAWQEAAOgFAAAAAA==&#10;">
            <v:path/>
            <v:fill on="t" focussize="0,0"/>
            <v:stroke on="f" weight="0.5pt" joinstyle="miter"/>
            <v:imagedata o:title=""/>
            <o:lock v:ext="edit"/>
            <v:textbox>
              <w:txbxContent>
                <w:p>
                  <w:r>
                    <w:rPr>
                      <w:rFonts w:hint="eastAsia" w:asciiTheme="minorEastAsia" w:hAnsiTheme="minorEastAsia" w:eastAsiaTheme="minorEastAsia" w:cstheme="minorEastAsia"/>
                    </w:rPr>
                    <w:t>衔接</w:t>
                  </w:r>
                </w:p>
              </w:txbxContent>
            </v:textbox>
          </v:shape>
        </w:pict>
      </w:r>
    </w:p>
    <w:p>
      <w:pPr>
        <w:pStyle w:val="8"/>
        <w:spacing w:line="360" w:lineRule="auto"/>
        <w:ind w:left="0"/>
        <w:outlineLvl w:val="1"/>
        <w:rPr>
          <w:rFonts w:asciiTheme="minorEastAsia" w:hAnsiTheme="minorEastAsia" w:eastAsiaTheme="minorEastAsia" w:cstheme="minorEastAsia"/>
          <w:b/>
          <w:bCs/>
          <w:sz w:val="28"/>
          <w:szCs w:val="28"/>
        </w:rPr>
      </w:pPr>
    </w:p>
    <w:p>
      <w:pPr>
        <w:pStyle w:val="8"/>
        <w:spacing w:line="360" w:lineRule="auto"/>
        <w:ind w:left="0"/>
        <w:outlineLvl w:val="1"/>
        <w:rPr>
          <w:rFonts w:asciiTheme="minorEastAsia" w:hAnsiTheme="minorEastAsia" w:eastAsiaTheme="minorEastAsia" w:cstheme="minorEastAsia"/>
          <w:b/>
          <w:bCs/>
          <w:sz w:val="28"/>
          <w:szCs w:val="28"/>
        </w:rPr>
      </w:pPr>
    </w:p>
    <w:p>
      <w:pPr>
        <w:pStyle w:val="8"/>
        <w:spacing w:line="360" w:lineRule="auto"/>
        <w:ind w:left="0"/>
        <w:outlineLvl w:val="1"/>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1.</w:t>
      </w:r>
      <w:r>
        <w:rPr>
          <w:rFonts w:hint="eastAsia" w:asciiTheme="minorEastAsia" w:hAnsiTheme="minorEastAsia" w:eastAsiaTheme="minorEastAsia" w:cstheme="minorEastAsia"/>
          <w:b/>
          <w:bCs/>
          <w:sz w:val="28"/>
          <w:szCs w:val="28"/>
          <w:lang w:val="en-US"/>
        </w:rPr>
        <w:t>5</w:t>
      </w:r>
      <w:r>
        <w:rPr>
          <w:rFonts w:hint="eastAsia" w:asciiTheme="minorEastAsia" w:hAnsiTheme="minorEastAsia" w:eastAsiaTheme="minorEastAsia" w:cstheme="minorEastAsia"/>
          <w:b/>
          <w:bCs/>
          <w:sz w:val="28"/>
          <w:szCs w:val="28"/>
        </w:rPr>
        <w:t xml:space="preserve"> 工作原则</w:t>
      </w:r>
      <w:bookmarkEnd w:id="26"/>
      <w:bookmarkEnd w:id="27"/>
      <w:bookmarkEnd w:id="28"/>
      <w:bookmarkEnd w:id="29"/>
      <w:bookmarkEnd w:id="30"/>
      <w:bookmarkEnd w:id="31"/>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在建立突发性环境污染事件应急系统及其响应程序时，应本着实事求是、切实可行的方针，贯彻如下原则：</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1）以人为本、安全第一。以保障职工以及周边群众的生命、环境安全作为应急工作的出发点和根本点，并优先保障人身安全。在确保人员安全的前提下，最大限度减少突发环境事件对饮用水源的影响。</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2）统一指挥、分工负责、协调联动。应急工作必须统一指挥，令行禁止。根据事故级别，分级建立统一的应急指挥体系，确保应急救援指挥统一。各有关部门和救援单位要在统一的指挥下按照各自职责，分工负责，紧密配合。</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3）快速反应、科学处置、资源共享、保障有力。各接报人员要迅速反应，有效研判，采用先进的应急装备和技术，科学、规范处置突发环境事件；相关职能部门、单位密切配合，实现应急资源共享，为应急处置提供有力保障。</w:t>
      </w:r>
    </w:p>
    <w:p>
      <w:pPr>
        <w:spacing w:line="360" w:lineRule="auto"/>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br w:type="page"/>
      </w:r>
    </w:p>
    <w:p>
      <w:pPr>
        <w:pStyle w:val="8"/>
        <w:spacing w:line="360" w:lineRule="auto"/>
        <w:ind w:left="0"/>
        <w:outlineLvl w:val="0"/>
        <w:rPr>
          <w:rFonts w:asciiTheme="minorEastAsia" w:hAnsiTheme="minorEastAsia" w:eastAsiaTheme="minorEastAsia" w:cstheme="minorEastAsia"/>
          <w:b/>
          <w:bCs/>
          <w:lang w:val="en-US"/>
        </w:rPr>
      </w:pPr>
      <w:bookmarkStart w:id="32" w:name="_Toc5980"/>
      <w:r>
        <w:rPr>
          <w:rFonts w:hint="eastAsia" w:asciiTheme="minorEastAsia" w:hAnsiTheme="minorEastAsia" w:eastAsiaTheme="minorEastAsia" w:cstheme="minorEastAsia"/>
          <w:b/>
          <w:bCs/>
          <w:lang w:val="en-US"/>
        </w:rPr>
        <w:t>2水源地基本信息</w:t>
      </w:r>
      <w:bookmarkEnd w:id="32"/>
    </w:p>
    <w:p>
      <w:pPr>
        <w:pStyle w:val="8"/>
        <w:spacing w:line="360" w:lineRule="auto"/>
        <w:ind w:left="0"/>
        <w:outlineLvl w:val="1"/>
        <w:rPr>
          <w:rFonts w:asciiTheme="minorEastAsia" w:hAnsiTheme="minorEastAsia" w:eastAsiaTheme="minorEastAsia" w:cstheme="minorEastAsia"/>
          <w:b/>
          <w:bCs/>
          <w:sz w:val="28"/>
          <w:szCs w:val="28"/>
          <w:lang w:val="en-US"/>
        </w:rPr>
      </w:pPr>
      <w:bookmarkStart w:id="33" w:name="_Toc3086"/>
      <w:r>
        <w:rPr>
          <w:rFonts w:hint="eastAsia" w:asciiTheme="minorEastAsia" w:hAnsiTheme="minorEastAsia" w:eastAsiaTheme="minorEastAsia" w:cstheme="minorEastAsia"/>
          <w:b/>
          <w:bCs/>
          <w:sz w:val="28"/>
          <w:szCs w:val="28"/>
          <w:lang w:val="en-US"/>
        </w:rPr>
        <w:t>2.1水源地简介</w:t>
      </w:r>
      <w:bookmarkEnd w:id="33"/>
    </w:p>
    <w:p>
      <w:pPr>
        <w:pStyle w:val="8"/>
        <w:autoSpaceDE w:val="0"/>
        <w:autoSpaceDN w:val="0"/>
        <w:spacing w:line="360" w:lineRule="auto"/>
        <w:ind w:firstLine="560" w:firstLineChars="200"/>
        <w:rPr>
          <w:sz w:val="28"/>
          <w:szCs w:val="28"/>
          <w:lang w:val="en-US"/>
        </w:rPr>
      </w:pPr>
      <w:r>
        <w:rPr>
          <w:rFonts w:hint="eastAsia"/>
          <w:sz w:val="28"/>
          <w:szCs w:val="28"/>
          <w:lang w:val="en-US"/>
        </w:rPr>
        <w:t>重庆市开州区满月镇范围内有一个集中式饮用水源地，为开州区满月河满月水厂水源地，编号：</w:t>
      </w:r>
      <w:r>
        <w:rPr>
          <w:rFonts w:hint="eastAsia"/>
          <w:sz w:val="28"/>
          <w:szCs w:val="28"/>
          <w:lang w:val="en-US" w:eastAsia="zh-CN"/>
        </w:rPr>
        <w:t>XXXXXXXXXXXXXXXX</w:t>
      </w:r>
      <w:r>
        <w:rPr>
          <w:rFonts w:hint="eastAsia"/>
          <w:sz w:val="28"/>
          <w:szCs w:val="28"/>
          <w:lang w:val="en-US"/>
        </w:rPr>
        <w:t>。从</w:t>
      </w:r>
      <w:r>
        <w:rPr>
          <w:rFonts w:hint="eastAsia"/>
          <w:sz w:val="28"/>
          <w:szCs w:val="28"/>
          <w:lang w:val="en-US" w:eastAsia="zh-CN"/>
        </w:rPr>
        <w:t>XXX</w:t>
      </w:r>
      <w:r>
        <w:rPr>
          <w:rFonts w:hint="eastAsia"/>
          <w:sz w:val="28"/>
          <w:szCs w:val="28"/>
          <w:lang w:val="en-US"/>
        </w:rPr>
        <w:t>地表水与地下水汇入山上溪沟形成</w:t>
      </w:r>
      <w:r>
        <w:rPr>
          <w:rFonts w:hint="eastAsia"/>
          <w:sz w:val="28"/>
          <w:szCs w:val="28"/>
          <w:lang w:val="en-US" w:eastAsia="zh-CN"/>
        </w:rPr>
        <w:t>XXX</w:t>
      </w:r>
      <w:r>
        <w:rPr>
          <w:rFonts w:hint="eastAsia"/>
          <w:sz w:val="28"/>
          <w:szCs w:val="28"/>
          <w:lang w:val="en-US"/>
        </w:rPr>
        <w:t>。服务区域为</w:t>
      </w:r>
      <w:r>
        <w:rPr>
          <w:rFonts w:hint="eastAsia"/>
          <w:sz w:val="28"/>
          <w:szCs w:val="28"/>
          <w:lang w:val="en-US" w:eastAsia="zh-CN"/>
        </w:rPr>
        <w:t>XXXXXXXXXXXXXXXXXXX</w:t>
      </w:r>
      <w:r>
        <w:rPr>
          <w:rFonts w:hint="eastAsia"/>
          <w:sz w:val="28"/>
          <w:szCs w:val="28"/>
          <w:lang w:val="en-US"/>
        </w:rPr>
        <w:t>。日供水2640m</w:t>
      </w:r>
      <w:r>
        <w:rPr>
          <w:rFonts w:hint="eastAsia"/>
          <w:sz w:val="28"/>
          <w:szCs w:val="28"/>
          <w:vertAlign w:val="superscript"/>
          <w:lang w:val="en-US"/>
        </w:rPr>
        <w:t>3</w:t>
      </w:r>
      <w:r>
        <w:rPr>
          <w:rFonts w:hint="eastAsia"/>
          <w:sz w:val="28"/>
          <w:szCs w:val="28"/>
          <w:lang w:val="en-US"/>
        </w:rPr>
        <w:t>。</w:t>
      </w:r>
    </w:p>
    <w:p>
      <w:pPr>
        <w:pStyle w:val="8"/>
        <w:spacing w:line="360" w:lineRule="auto"/>
        <w:ind w:left="0"/>
        <w:outlineLvl w:val="1"/>
        <w:rPr>
          <w:rFonts w:asciiTheme="minorEastAsia" w:hAnsiTheme="minorEastAsia" w:eastAsiaTheme="minorEastAsia" w:cstheme="minorEastAsia"/>
          <w:b/>
          <w:bCs/>
          <w:sz w:val="28"/>
          <w:szCs w:val="28"/>
          <w:lang w:val="en-US"/>
        </w:rPr>
      </w:pPr>
      <w:bookmarkStart w:id="34" w:name="_Toc9798"/>
      <w:r>
        <w:rPr>
          <w:rFonts w:hint="eastAsia" w:asciiTheme="minorEastAsia" w:hAnsiTheme="minorEastAsia" w:eastAsiaTheme="minorEastAsia" w:cstheme="minorEastAsia"/>
          <w:b/>
          <w:bCs/>
          <w:sz w:val="28"/>
          <w:szCs w:val="28"/>
          <w:lang w:val="en-US"/>
        </w:rPr>
        <w:t>2.2水源地取水情况</w:t>
      </w:r>
      <w:bookmarkEnd w:id="34"/>
    </w:p>
    <w:p>
      <w:pPr>
        <w:pStyle w:val="8"/>
        <w:spacing w:line="360" w:lineRule="auto"/>
        <w:ind w:left="0" w:firstLine="562" w:firstLineChars="200"/>
        <w:rPr>
          <w:rFonts w:asciiTheme="minorEastAsia" w:hAnsiTheme="minorEastAsia" w:eastAsiaTheme="minorEastAsia" w:cstheme="minorEastAsia"/>
          <w:sz w:val="28"/>
          <w:szCs w:val="28"/>
          <w:lang w:val="en-US"/>
        </w:rPr>
      </w:pPr>
      <w:r>
        <w:rPr>
          <w:rFonts w:hint="eastAsia"/>
          <w:b/>
          <w:bCs/>
          <w:sz w:val="28"/>
          <w:szCs w:val="28"/>
          <w:lang w:val="en-US" w:bidi="ar-SA"/>
        </w:rPr>
        <w:drawing>
          <wp:anchor distT="0" distB="0" distL="114300" distR="114300" simplePos="0" relativeHeight="251648000" behindDoc="0" locked="0" layoutInCell="1" allowOverlap="1">
            <wp:simplePos x="0" y="0"/>
            <wp:positionH relativeFrom="column">
              <wp:posOffset>6350</wp:posOffset>
            </wp:positionH>
            <wp:positionV relativeFrom="paragraph">
              <wp:posOffset>1663700</wp:posOffset>
            </wp:positionV>
            <wp:extent cx="2657475" cy="3215640"/>
            <wp:effectExtent l="0" t="0" r="9525" b="3810"/>
            <wp:wrapTopAndBottom/>
            <wp:docPr id="17" name="图片 17" descr="ba2ab268f928969d8feedf948596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ba2ab268f928969d8feedf948596064"/>
                    <pic:cNvPicPr>
                      <a:picLocks noChangeAspect="1"/>
                    </pic:cNvPicPr>
                  </pic:nvPicPr>
                  <pic:blipFill>
                    <a:blip r:embed="rId13" cstate="print"/>
                    <a:stretch>
                      <a:fillRect/>
                    </a:stretch>
                  </pic:blipFill>
                  <pic:spPr>
                    <a:xfrm>
                      <a:off x="0" y="0"/>
                      <a:ext cx="2657475" cy="3215640"/>
                    </a:xfrm>
                    <a:prstGeom prst="rect">
                      <a:avLst/>
                    </a:prstGeom>
                  </pic:spPr>
                </pic:pic>
              </a:graphicData>
            </a:graphic>
          </wp:anchor>
        </w:drawing>
      </w:r>
      <w:r>
        <w:rPr>
          <w:rFonts w:hint="eastAsia" w:asciiTheme="minorEastAsia" w:hAnsiTheme="minorEastAsia" w:eastAsiaTheme="minorEastAsia" w:cstheme="minorEastAsia"/>
          <w:sz w:val="28"/>
          <w:szCs w:val="28"/>
          <w:lang w:val="en-US"/>
        </w:rPr>
        <w:t>满月河（蒋家湾取水点）：取九重山两侧满月河水供应，一侧采用2个63管取水到沉沙池，沉淀后接1个90管到水厂；另一侧采用1个63管、1个90管接入沉沙池，沉淀后接1个90管到水厂。取水满足满月镇日常用水。</w:t>
      </w:r>
    </w:p>
    <w:p>
      <w:pPr>
        <w:pStyle w:val="8"/>
        <w:autoSpaceDE w:val="0"/>
        <w:autoSpaceDN w:val="0"/>
        <w:spacing w:line="360" w:lineRule="auto"/>
        <w:rPr>
          <w:b/>
          <w:bCs/>
          <w:sz w:val="28"/>
          <w:szCs w:val="28"/>
          <w:lang w:val="en-US"/>
        </w:rPr>
      </w:pPr>
      <w:r>
        <w:rPr>
          <w:sz w:val="28"/>
        </w:rPr>
        <w:pict>
          <v:shape id="_x0000_s2068" o:spid="_x0000_s2068" o:spt="202" type="#_x0000_t202" style="position:absolute;left:0pt;margin-left:266.5pt;margin-top:260.5pt;height:33pt;width:196.8pt;z-index:251662336;mso-width-relative:page;mso-height-relative:page;" fillcolor="#FFFFFF" filled="t" stroked="f" coordsize="21600,21600" o:gfxdata="UEsDBAoAAAAAAIdO4kAAAAAAAAAAAAAAAAAEAAAAZHJzL1BLAwQUAAAACACHTuJAfPWAKdYAAAAL&#10;AQAADwAAAGRycy9kb3ducmV2LnhtbE2PS0/EMAyE70j8h8hI3NikXShLaboHJK5I7OucbUxT0ThV&#10;kn3+eswJbmN7NP6mWZ79KI4Y0xBIQzFTIJC6YAfqNWzW7w8LECkbsmYMhBoumGDZ3t40prbhRJ94&#10;XOVecAil2mhwOU+1lKlz6E2ahQmJb18hepN5jL200Zw43I+yVKqS3gzEH5yZ8M1h9706eA273l93&#10;22KKzvrxkT6ul/UmDFrf3xXqFUTGc/4zwy8+o0PLTPtwIJvEqOFpPucumUVZsGDHS1lVIPa8WTwr&#10;kG0j/3dofwBQSwMEFAAAAAgAh07iQOw7f2dTAgAAkQQAAA4AAABkcnMvZTJvRG9jLnhtbK1UzW4T&#10;MRC+I/EOlu9089eWRNlUoVUQUkUrFcTZ8XqzK3k9xnayWx4A3oATF+48V5+Dz96kLYVDD+TgjGfG&#10;M/N9M7Pzs67RbKecr8nkfHg04EwZSUVtNjn/+GH16jVnPghTCE1G5fxWeX62ePli3tqZGlFFulCO&#10;IYjxs9bmvArBzrLMy0o1wh+RVQbGklwjAq5ukxVOtIje6Gw0GJxkLbnCOpLKe2gveiPfR3TPCUhl&#10;WUt1QXLbKBP6qE5pEQDJV7X1fJGqLUslw1VZehWYzjmQhnQiCeR1PLPFXMw2TtiqlvsSxHNKeIKp&#10;EbVB0vtQFyIItnX1X6GaWjryVIYjSU3WA0mMAMVw8ISbm0pYlbCAam/vSff/L6x8v7t2rC5yPj7l&#10;zIgGHb/7/u3ux6+7n18ZdCCotX4GvxsLz9C9oQ5jc9B7KCPurnRN/AciBjvovb2nV3WBSShHk+l0&#10;fAKThG0ynA4Hif/s4bV1PrxV1LAo5NyhfYlVsbv0AZXA9eASk3nSdbGqtU4Xt1mfa8d2Aq1epV8s&#10;Ek/+cNOGtTk/GR8PUmRD8X3vpw3cI9geVJRCt+72DKypuAUBjvoZ8laualR5KXy4Fg5DA2BYq3CF&#10;o9SEJLSXOKvIffmXPvqjl7By1mIIc+4/b4VTnOl3Bl2eDicThA3pMjk+HeHiHlvWjy1m25wTwA+x&#10;wFYmMfoHfRBLR80nbN8yZoVJGIncOQ8H8Tz0q4HtlWq5TE6YUyvCpbmxMoaOVBtabgOVdWpJpKnn&#10;Zs8eJjXRvt+quAqP78nr4Uuy+A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B89YAp1gAAAAsBAAAP&#10;AAAAAAAAAAEAIAAAACIAAABkcnMvZG93bnJldi54bWxQSwECFAAUAAAACACHTuJA7Dt/Z1MCAACR&#10;BAAADgAAAAAAAAABACAAAAAlAQAAZHJzL2Uyb0RvYy54bWxQSwUGAAAAAAYABgBZAQAA6gUAAAAA&#10;">
            <v:path/>
            <v:fill on="t" focussize="0,0"/>
            <v:stroke on="f" weight="0.5pt" joinstyle="miter"/>
            <v:imagedata o:title=""/>
            <o:lock v:ext="edit"/>
            <v:textbox>
              <w:txbxContent>
                <w:p>
                  <w:pPr>
                    <w:jc w:val="center"/>
                    <w:rPr>
                      <w:b/>
                      <w:bCs/>
                      <w:sz w:val="28"/>
                      <w:szCs w:val="28"/>
                    </w:rPr>
                  </w:pPr>
                  <w:r>
                    <w:rPr>
                      <w:rFonts w:hint="eastAsia"/>
                      <w:b/>
                      <w:bCs/>
                      <w:sz w:val="28"/>
                      <w:szCs w:val="28"/>
                    </w:rPr>
                    <w:t>图二：取水点2现场图片</w:t>
                  </w:r>
                </w:p>
              </w:txbxContent>
            </v:textbox>
          </v:shape>
        </w:pict>
      </w:r>
      <w:r>
        <w:rPr>
          <w:sz w:val="28"/>
        </w:rPr>
        <w:pict>
          <v:shape id="_x0000_s2067" o:spid="_x0000_s2067" o:spt="202" type="#_x0000_t202" style="position:absolute;left:0pt;margin-left:3.4pt;margin-top:265.1pt;height:33pt;width:196.8pt;z-index:251661312;mso-width-relative:page;mso-height-relative:page;" fillcolor="#FFFFFF" filled="t" stroked="f" coordsize="21600,21600" o:gfxdata="UEsDBAoAAAAAAIdO4kAAAAAAAAAAAAAAAAAEAAAAZHJzL1BLAwQUAAAACACHTuJA9pzyINQAAAAJ&#10;AQAADwAAAGRycy9kb3ducmV2LnhtbE2PO0/EMBCEeyT+g7VIdJydECIIca5AokXiXrUvXuIIex3F&#10;vuevZ6mg3JnRzLft8hy8OOKcxkgaioUCgdRHO9KgYbN+f3gGkbIha3wk1HDBBMvu9qY1jY0n+sTj&#10;Kg+CSyg1RoPLeWqkTL3DYNIiTkjsfcU5mMznPEg7mxOXBy9LpWoZzEi84MyEbw7779UhaNgN4brb&#10;FtPsbPAVfVwv600ctb6/K9QriIzn/BeGX3xGh46Z9vFANgmvoWbwrOHpUZUg2K+UqkDsWXmpS5Bd&#10;K/9/0P0AUEsDBBQAAAAIAIdO4kC3A9R/XQIAAJ0EAAAOAAAAZHJzL2Uyb0RvYy54bWytVMFu2zAM&#10;vQ/YPwi6r44TN12COEXWIsOAYi3QDTsrshwLkERNUmJ3H7D9wU677L7vyneMkp2263boYTk4lPhM&#10;8j2SXpx3WpG9cF6CKWl+MqJEGA6VNNuSfvywfvWaEh+YqZgCI0p6Jzw9X758sWjtXIyhAVUJRzCI&#10;8fPWlrQJwc6zzPNGaOZPwAqDzhqcZgGPbptVjrUYXatsPBpNsxZcZR1w4T3eXvZOOkR0zwkIdS25&#10;uAS+08KEPqoTigWk5BtpPV2mauta8HBd114EokqKTEN6YhK0N/GZLRdsvnXMNpIPJbDnlPCEk2bS&#10;YNL7UJcsMLJz8q9QWnIHHupwwkFnPZGkCLLIR0+0uW2YFYkLSu3tvej+/4Xl7/c3jsiqpJMpJYZp&#10;7Pjh+7fDj1+Hn18J3qFArfVzxN1aRIbuDXQ4Nsd7j5eRd1c7Hf+REYn+cXGWFyjyXUln+fismA1S&#10;iy4QjoBxMZtNpgjgiCjyWT5KgOwhknU+vBWgSTRK6rCVSWG2v/IBq0LoERITe1CyWkul0sFtNxfK&#10;kT3Dtq/TLxaMr/wBU4a0JZ1OTkcpsoH4fo9TBuGReE8wWqHbdIMaG6juUAwH/Tx5y9cSq7xiPtww&#10;hwOExHDFwjU+agWYBAaLkgbcl3/dRzz2Fb2UtDiQJfWfd8wJStQ7gx2f5UUUNKRDcXo2xoN77Nk8&#10;9pidvgAkn+MyW57MiA/qaNYO9CfcxFXMii5mOOYuaTiaF6FfE9xkLlarBMKZtSxcmVvLY+gotYHV&#10;LkAtU0uiTL02g3o4tUn2YcPiWjw+J9TDV2X5G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Pac8iDU&#10;AAAACQEAAA8AAAAAAAAAAQAgAAAAIgAAAGRycy9kb3ducmV2LnhtbFBLAQIUABQAAAAIAIdO4kC3&#10;A9R/XQIAAJ0EAAAOAAAAAAAAAAEAIAAAACMBAABkcnMvZTJvRG9jLnhtbFBLBQYAAAAABgAGAFkB&#10;AADyBQAAAAA=&#10;">
            <v:path/>
            <v:fill on="t" focussize="0,0"/>
            <v:stroke on="f" weight="0.5pt" joinstyle="miter"/>
            <v:imagedata o:title=""/>
            <o:lock v:ext="edit"/>
            <v:textbox>
              <w:txbxContent>
                <w:p>
                  <w:pPr>
                    <w:jc w:val="center"/>
                    <w:rPr>
                      <w:b/>
                      <w:bCs/>
                      <w:sz w:val="28"/>
                      <w:szCs w:val="28"/>
                    </w:rPr>
                  </w:pPr>
                  <w:r>
                    <w:rPr>
                      <w:rFonts w:hint="eastAsia"/>
                      <w:b/>
                      <w:bCs/>
                      <w:sz w:val="28"/>
                      <w:szCs w:val="28"/>
                    </w:rPr>
                    <w:t>图一：取水点1现场图片</w:t>
                  </w:r>
                </w:p>
              </w:txbxContent>
            </v:textbox>
          </v:shape>
        </w:pict>
      </w:r>
      <w:r>
        <w:rPr>
          <w:rFonts w:hint="eastAsia"/>
          <w:b/>
          <w:bCs/>
          <w:sz w:val="28"/>
          <w:szCs w:val="28"/>
          <w:lang w:val="en-US" w:bidi="ar-SA"/>
        </w:rPr>
        <w:drawing>
          <wp:anchor distT="0" distB="0" distL="114300" distR="114300" simplePos="0" relativeHeight="251649024" behindDoc="0" locked="0" layoutInCell="1" allowOverlap="1">
            <wp:simplePos x="0" y="0"/>
            <wp:positionH relativeFrom="column">
              <wp:posOffset>3361690</wp:posOffset>
            </wp:positionH>
            <wp:positionV relativeFrom="paragraph">
              <wp:posOffset>104140</wp:posOffset>
            </wp:positionV>
            <wp:extent cx="2606040" cy="3185160"/>
            <wp:effectExtent l="0" t="0" r="3810" b="15240"/>
            <wp:wrapTopAndBottom/>
            <wp:docPr id="34" name="图片 34" descr="f960f55d044b5c43f4915781273375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f960f55d044b5c43f4915781273375e"/>
                    <pic:cNvPicPr>
                      <a:picLocks noChangeAspect="1"/>
                    </pic:cNvPicPr>
                  </pic:nvPicPr>
                  <pic:blipFill>
                    <a:blip r:embed="rId14"/>
                    <a:stretch>
                      <a:fillRect/>
                    </a:stretch>
                  </pic:blipFill>
                  <pic:spPr>
                    <a:xfrm>
                      <a:off x="0" y="0"/>
                      <a:ext cx="2606040" cy="3185160"/>
                    </a:xfrm>
                    <a:prstGeom prst="rect">
                      <a:avLst/>
                    </a:prstGeom>
                  </pic:spPr>
                </pic:pic>
              </a:graphicData>
            </a:graphic>
          </wp:anchor>
        </w:drawing>
      </w:r>
    </w:p>
    <w:p>
      <w:pPr>
        <w:pStyle w:val="8"/>
        <w:spacing w:line="360" w:lineRule="auto"/>
        <w:ind w:left="0"/>
        <w:outlineLvl w:val="1"/>
        <w:rPr>
          <w:rFonts w:asciiTheme="minorEastAsia" w:hAnsiTheme="minorEastAsia" w:eastAsiaTheme="minorEastAsia" w:cstheme="minorEastAsia"/>
          <w:b/>
          <w:bCs/>
          <w:sz w:val="28"/>
          <w:szCs w:val="28"/>
          <w:lang w:val="en-US"/>
        </w:rPr>
      </w:pPr>
      <w:bookmarkStart w:id="35" w:name="_Toc4522"/>
      <w:r>
        <w:rPr>
          <w:rFonts w:hint="eastAsia" w:asciiTheme="minorEastAsia" w:hAnsiTheme="minorEastAsia" w:eastAsiaTheme="minorEastAsia" w:cstheme="minorEastAsia"/>
          <w:b/>
          <w:bCs/>
          <w:sz w:val="28"/>
          <w:szCs w:val="28"/>
          <w:lang w:val="en-US"/>
        </w:rPr>
        <w:t>2.3饮用水水源保护区</w:t>
      </w:r>
      <w:bookmarkEnd w:id="35"/>
    </w:p>
    <w:p>
      <w:pPr>
        <w:pStyle w:val="8"/>
        <w:spacing w:line="360" w:lineRule="auto"/>
        <w:ind w:left="0" w:firstLine="560" w:firstLineChars="200"/>
        <w:rPr>
          <w:sz w:val="28"/>
          <w:szCs w:val="28"/>
          <w:lang w:val="en-US"/>
        </w:rPr>
      </w:pPr>
      <w:r>
        <w:rPr>
          <w:rFonts w:hint="eastAsia"/>
          <w:sz w:val="28"/>
          <w:szCs w:val="28"/>
          <w:lang w:val="en-US"/>
        </w:rPr>
        <w:t>一级保护区：水域范围为取水口上游1000m至下游100m的整个水域，陆域范围为30年一遇洪水位至正常水位范围内的陆域，但不超过分水岭，陆域沿岸长度与一级保护区水域长度相同。</w:t>
      </w:r>
    </w:p>
    <w:p>
      <w:pPr>
        <w:pStyle w:val="8"/>
        <w:spacing w:line="360" w:lineRule="auto"/>
        <w:ind w:left="0" w:firstLine="560" w:firstLineChars="200"/>
        <w:rPr>
          <w:sz w:val="28"/>
          <w:szCs w:val="28"/>
          <w:lang w:val="en-US"/>
        </w:rPr>
      </w:pPr>
      <w:r>
        <w:rPr>
          <w:rFonts w:hint="eastAsia"/>
          <w:sz w:val="28"/>
          <w:szCs w:val="28"/>
          <w:lang w:val="en-US"/>
        </w:rPr>
        <w:t>二级保护区：水域范围为取水口上游1000m至2000m，下游100m至200m的整个水域，陆域范围为30年一遇洪水位至正常水位范围内的陆域，但不超过分水岭，陆域沿岸长度与二级保护区水域长度相同。</w:t>
      </w:r>
    </w:p>
    <w:p>
      <w:pPr>
        <w:pStyle w:val="8"/>
        <w:spacing w:line="360" w:lineRule="auto"/>
        <w:ind w:left="0"/>
        <w:outlineLvl w:val="1"/>
        <w:rPr>
          <w:rFonts w:asciiTheme="minorEastAsia" w:hAnsiTheme="minorEastAsia" w:eastAsiaTheme="minorEastAsia" w:cstheme="minorEastAsia"/>
          <w:b/>
          <w:bCs/>
          <w:sz w:val="28"/>
          <w:szCs w:val="28"/>
          <w:lang w:val="en-US"/>
        </w:rPr>
      </w:pPr>
      <w:bookmarkStart w:id="36" w:name="_Toc30858"/>
      <w:r>
        <w:rPr>
          <w:rFonts w:hint="eastAsia" w:asciiTheme="minorEastAsia" w:hAnsiTheme="minorEastAsia" w:eastAsiaTheme="minorEastAsia" w:cstheme="minorEastAsia"/>
          <w:b/>
          <w:bCs/>
          <w:sz w:val="28"/>
          <w:szCs w:val="28"/>
          <w:lang w:val="en-US"/>
        </w:rPr>
        <w:t>2.4规范性建设</w:t>
      </w:r>
      <w:bookmarkEnd w:id="36"/>
    </w:p>
    <w:p>
      <w:pPr>
        <w:pStyle w:val="8"/>
        <w:spacing w:line="360" w:lineRule="auto"/>
        <w:ind w:left="0" w:firstLine="560" w:firstLineChars="200"/>
        <w:rPr>
          <w:sz w:val="28"/>
          <w:szCs w:val="28"/>
          <w:lang w:val="en-US"/>
        </w:rPr>
      </w:pPr>
      <w:r>
        <w:rPr>
          <w:rFonts w:hint="eastAsia"/>
          <w:sz w:val="28"/>
          <w:szCs w:val="28"/>
          <w:lang w:val="en-US"/>
        </w:rPr>
        <w:t>设有保护区标志与警示建立了一源一事档案，定期巡查并设有巡查房，设置防护隔离网。但警示牌、宣传牌设置不完善，未对取水口进行视频监控，未定期开展水源地环境状况评估。</w:t>
      </w:r>
    </w:p>
    <w:p>
      <w:pPr>
        <w:pStyle w:val="8"/>
        <w:autoSpaceDE w:val="0"/>
        <w:autoSpaceDN w:val="0"/>
        <w:spacing w:line="360" w:lineRule="auto"/>
        <w:rPr>
          <w:b/>
          <w:bCs/>
          <w:sz w:val="28"/>
          <w:szCs w:val="28"/>
          <w:lang w:val="en-US"/>
        </w:rPr>
      </w:pPr>
      <w:r>
        <w:rPr>
          <w:sz w:val="28"/>
        </w:rPr>
        <w:pict>
          <v:shape id="_x0000_s2066" o:spid="_x0000_s2066" o:spt="202" type="#_x0000_t202" style="position:absolute;left:0pt;margin-left:243.05pt;margin-top:206.35pt;height:33.95pt;width:198.15pt;z-index:251664384;mso-width-relative:page;mso-height-relative:page;" fillcolor="#FFFFFF" filled="t" stroked="f" coordsize="21600,21600" o:gfxdata="UEsDBAoAAAAAAIdO4kAAAAAAAAAAAAAAAAAEAAAAZHJzL1BLAwQUAAAACACHTuJA5rIxytUAAAAL&#10;AQAADwAAAGRycy9kb3ducmV2LnhtbE2Py2rDMBBF94X+g5hAd40kY1zjWs4i0G2hSZq1Yk0sU2lk&#10;LOX59VVW7W6Ge7hzpl1dvWNnnOMYSIFcCmBIfTAjDQp224/XGlhMmox2gVDBDSOsuuenVjcmXOgL&#10;z5s0sFxCsdEKbEpTw3nsLXodl2FCytkxzF6nvM4DN7O+5HLveCFExb0eKV+wesK1xf5nc/IK9oO/&#10;77/lNFvjXUmf99t2F0alXhZSvANLeE1/MDz0szp02ekQTmQicwrKupIZzYMs3oBloq6LEtjhEYkK&#10;eNfy/z90v1BLAwQUAAAACACHTuJA+afHnk8CAACRBAAADgAAAGRycy9lMm9Eb2MueG1srVTNjtMw&#10;EL4j8Q6W7zRpty1QbboquypCqtiVCuLsOk5jyfYY221SHgDegBMX7jxXn4Oxk3aXhcMe6CGdv3wz&#10;881MLq9archeOC/BFHQ4yCkRhkMpzbagHz8sX7yixAdmSqbAiIIehKdX8+fPLhs7EyOoQZXCEQQx&#10;ftbYgtYh2FmWeV4LzfwArDDorMBpFlB126x0rEF0rbJRnk+zBlxpHXDhPVpvOiftEd1TAKGqJBc3&#10;wHdamNChOqFYwJZ8La2n81RtVQkebqvKi0BUQbHTkJ6YBOVNfGbzSzbbOmZryfsS2FNKeNSTZtJg&#10;0jPUDQuM7Jz8C0pL7sBDFQYcdNY1khjBLob5I27WNbMi9YJUe3sm3f8/WP5+f+eILAs6HlJimMaJ&#10;H79/O/74dfz5laANCWqsn2Hc2mJkaN9Ai2tzsns0xr7byun4jx0R9CO9hzO9og2Eo3E0GU4n+YQS&#10;jr7xxRC1CJPdv22dD28FaBKFgjocX2KV7Vc+dKGnkJjMg5LlUiqVFLfdXCtH9gxHvUy/Hv2PMGVI&#10;U9DpxSRPyAbi+x20MlhMbLZrKkqh3bQ9AxsoD0iAg26HvOVLiVWumA93zOHSYM94VuEWH5UCTAK9&#10;REkN7su/7DEeZ4leShpcwoL6zzvmBCXqncEpvx6Ox3FrkzKevByh4h56Ng89ZqevAZvHQWJ1SYzx&#10;QZ3EyoH+hNe3iFnRxQzH3AUNJ/E6dKeB18vFYpGCcE8tCyuztjxCR6oNLHYBKplGEmnquOnZw01N&#10;Q+2vKp7CQz1F3X9J5r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5rIxytUAAAALAQAADwAAAAAA&#10;AAABACAAAAAiAAAAZHJzL2Rvd25yZXYueG1sUEsBAhQAFAAAAAgAh07iQPmnx55PAgAAkQQAAA4A&#10;AAAAAAAAAQAgAAAAJAEAAGRycy9lMm9Eb2MueG1sUEsFBgAAAAAGAAYAWQEAAOUFAAAAAA==&#10;">
            <v:path/>
            <v:fill on="t" focussize="0,0"/>
            <v:stroke on="f" weight="0.5pt" joinstyle="miter"/>
            <v:imagedata o:title=""/>
            <o:lock v:ext="edit"/>
            <v:textbox>
              <w:txbxContent>
                <w:p>
                  <w:pPr>
                    <w:rPr>
                      <w:b/>
                      <w:bCs/>
                      <w:sz w:val="28"/>
                      <w:szCs w:val="28"/>
                    </w:rPr>
                  </w:pPr>
                  <w:r>
                    <w:rPr>
                      <w:rFonts w:hint="eastAsia"/>
                      <w:b/>
                      <w:bCs/>
                      <w:sz w:val="28"/>
                      <w:szCs w:val="28"/>
                    </w:rPr>
                    <w:t>图四：设立水源地标牌</w:t>
                  </w:r>
                </w:p>
              </w:txbxContent>
            </v:textbox>
          </v:shape>
        </w:pict>
      </w:r>
      <w:r>
        <w:rPr>
          <w:sz w:val="28"/>
        </w:rPr>
        <w:pict>
          <v:shape id="_x0000_s2065" o:spid="_x0000_s2065" o:spt="202" type="#_x0000_t202" style="position:absolute;left:0pt;margin-left:-9pt;margin-top:205.35pt;height:33.95pt;width:198.15pt;z-index:251663360;mso-width-relative:page;mso-height-relative:page;" fillcolor="#FFFFFF" filled="t" stroked="f" coordsize="21600,21600" o:gfxdata="UEsDBAoAAAAAAIdO4kAAAAAAAAAAAAAAAAAEAAAAZHJzL1BLAwQUAAAACACHTuJAr7nNzdcAAAAL&#10;AQAADwAAAGRycy9kb3ducmV2LnhtbE2PzU7DMBCE70i8g7VI3FrbtGqiEKcHJK5ItKVnN3bjCHsd&#10;2e7v07Oc4Dg7o9lv2vU1eHa2KY8RFci5AGaxj2bEQcFu+z6rgeWi0Wgf0Sq42Qzr7vGh1Y2JF/y0&#10;500ZGJVgbrQCV8rUcJ57Z4PO8zhZJO8YU9CFZBq4SfpC5cHzFyFWPOgR6YPTk31ztv/enIKC/RDu&#10;+y85JWeCX+LH/bbdxVGp5ycpXoEVey1/YfjFJ3ToiOkQT2gy8wpmsqYtRcFSigoYJRZVvQB2oEtV&#10;r4B3Lf+/ofsBUEsDBBQAAAAIAIdO4kBHwYCWWwIAAJ0EAAAOAAAAZHJzL2Uyb0RvYy54bWytVMFu&#10;2zAMvQ/YPwi6r7bTuGmDOkXWIsOAYi3QDTsrshwLkERNUmJ3H7D9QU+77L7v6neMkp2263boYTko&#10;pPjyKD6SOT3rtSI74bwEU9HiIKdEGA61NJuKfvq4enNMiQ/M1EyBERW9FZ6eLV6/Ou3sXEygBVUL&#10;R5DE+HlnK9qGYOdZ5nkrNPMHYIXBYANOs4Cu22S1Yx2ya5VN8vwo68DV1gEX3uPtxRCkI6N7CSE0&#10;jeTiAvhWCxMGVicUC1iSb6X1dJFe2zSCh6um8SIQVVGsNKQTk6C9jme2OGXzjWO2lXx8AnvJE57V&#10;pJk0mPSB6oIFRrZO/kWlJXfgoQkHHHQ2FJIUwSqK/Jk2Ny2zItWCUnv7ILr/f7T8w+7aEVlXdIqS&#10;GKax4/d33+9//Lr/+Y3gHQrUWT9H3I1FZOjfQo9js7/3eBnr7hun4zdWRGJ8enwyK5DxtqKz8rjM&#10;Z+UgtegD4QiYlMVRmZeUcERMDwv0IiB7ZLLOh3cCNIlGRR22MinMdpc+DNA9JCb2oGS9kkolx23W&#10;58qRHcO2r9JnZP8DpgzpKnp0WOaJ2UD8/UCtDD4mFj4UGK3Qr/tRjTXUtyiGg2GevOUria+8ZD5c&#10;M4cDhJXjioUrPBoFmARGi5IW3Nd/3Uc89hWjlHQ4kBX1X7bMCUrUe4MdPymmsUUhOdNyNkHHPY2s&#10;n0bMVp8DFl/gMluezIgPam82DvRn3MRlzIohZjjmrmjYm+dhWBPcZC6WywTCmbUsXJobyyN1lNrA&#10;chugkaklUaZBm1E9nNrU1HHD4lo89RPq8V9l8R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Cvuc3N&#10;1wAAAAsBAAAPAAAAAAAAAAEAIAAAACIAAABkcnMvZG93bnJldi54bWxQSwECFAAUAAAACACHTuJA&#10;R8GAllsCAACdBAAADgAAAAAAAAABACAAAAAmAQAAZHJzL2Uyb0RvYy54bWxQSwUGAAAAAAYABgBZ&#10;AQAA8wUAAAAA&#10;">
            <v:path/>
            <v:fill on="t" focussize="0,0"/>
            <v:stroke on="f" weight="0.5pt" joinstyle="miter"/>
            <v:imagedata o:title=""/>
            <o:lock v:ext="edit"/>
            <v:textbox>
              <w:txbxContent>
                <w:p>
                  <w:pPr>
                    <w:rPr>
                      <w:b/>
                      <w:bCs/>
                      <w:sz w:val="28"/>
                      <w:szCs w:val="28"/>
                    </w:rPr>
                  </w:pPr>
                  <w:r>
                    <w:rPr>
                      <w:rFonts w:hint="eastAsia"/>
                      <w:b/>
                      <w:bCs/>
                      <w:sz w:val="28"/>
                      <w:szCs w:val="28"/>
                    </w:rPr>
                    <w:t>图三：取水点设立防护隔离网</w:t>
                  </w:r>
                </w:p>
              </w:txbxContent>
            </v:textbox>
          </v:shape>
        </w:pict>
      </w:r>
      <w:r>
        <w:rPr>
          <w:rFonts w:hint="eastAsia"/>
          <w:b/>
          <w:bCs/>
          <w:sz w:val="28"/>
          <w:szCs w:val="28"/>
          <w:lang w:val="en-US" w:bidi="ar-SA"/>
        </w:rPr>
        <w:drawing>
          <wp:anchor distT="0" distB="0" distL="114300" distR="114300" simplePos="0" relativeHeight="251650048" behindDoc="0" locked="0" layoutInCell="1" allowOverlap="1">
            <wp:simplePos x="0" y="0"/>
            <wp:positionH relativeFrom="column">
              <wp:posOffset>120650</wp:posOffset>
            </wp:positionH>
            <wp:positionV relativeFrom="paragraph">
              <wp:posOffset>35560</wp:posOffset>
            </wp:positionV>
            <wp:extent cx="2238375" cy="2524760"/>
            <wp:effectExtent l="0" t="0" r="9525" b="8890"/>
            <wp:wrapTopAndBottom/>
            <wp:docPr id="38" name="图片 38" descr="ba2ab268f928969d8feedf948596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ba2ab268f928969d8feedf948596064"/>
                    <pic:cNvPicPr>
                      <a:picLocks noChangeAspect="1"/>
                    </pic:cNvPicPr>
                  </pic:nvPicPr>
                  <pic:blipFill>
                    <a:blip r:embed="rId15" cstate="print"/>
                    <a:stretch>
                      <a:fillRect/>
                    </a:stretch>
                  </pic:blipFill>
                  <pic:spPr>
                    <a:xfrm>
                      <a:off x="0" y="0"/>
                      <a:ext cx="2238375" cy="2524760"/>
                    </a:xfrm>
                    <a:prstGeom prst="rect">
                      <a:avLst/>
                    </a:prstGeom>
                  </pic:spPr>
                </pic:pic>
              </a:graphicData>
            </a:graphic>
          </wp:anchor>
        </w:drawing>
      </w:r>
      <w:r>
        <w:rPr>
          <w:rFonts w:hint="eastAsia"/>
          <w:b/>
          <w:bCs/>
          <w:sz w:val="28"/>
          <w:szCs w:val="28"/>
          <w:lang w:val="en-US" w:bidi="ar-SA"/>
        </w:rPr>
        <w:drawing>
          <wp:anchor distT="0" distB="0" distL="114300" distR="114300" simplePos="0" relativeHeight="251651072" behindDoc="0" locked="0" layoutInCell="1" allowOverlap="1">
            <wp:simplePos x="0" y="0"/>
            <wp:positionH relativeFrom="column">
              <wp:posOffset>3168015</wp:posOffset>
            </wp:positionH>
            <wp:positionV relativeFrom="paragraph">
              <wp:posOffset>43815</wp:posOffset>
            </wp:positionV>
            <wp:extent cx="2148840" cy="2503805"/>
            <wp:effectExtent l="0" t="0" r="3810" b="10795"/>
            <wp:wrapTopAndBottom/>
            <wp:docPr id="39" name="图片 39" descr="b4acb70d5fc94440287f7e9a4017ca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b4acb70d5fc94440287f7e9a4017ca5"/>
                    <pic:cNvPicPr>
                      <a:picLocks noChangeAspect="1"/>
                    </pic:cNvPicPr>
                  </pic:nvPicPr>
                  <pic:blipFill>
                    <a:blip r:embed="rId16"/>
                    <a:stretch>
                      <a:fillRect/>
                    </a:stretch>
                  </pic:blipFill>
                  <pic:spPr>
                    <a:xfrm>
                      <a:off x="0" y="0"/>
                      <a:ext cx="2148840" cy="2503805"/>
                    </a:xfrm>
                    <a:prstGeom prst="rect">
                      <a:avLst/>
                    </a:prstGeom>
                  </pic:spPr>
                </pic:pic>
              </a:graphicData>
            </a:graphic>
          </wp:anchor>
        </w:drawing>
      </w:r>
    </w:p>
    <w:p>
      <w:pPr>
        <w:pStyle w:val="8"/>
        <w:spacing w:line="360" w:lineRule="auto"/>
        <w:ind w:left="0"/>
        <w:outlineLvl w:val="1"/>
        <w:rPr>
          <w:rFonts w:asciiTheme="minorEastAsia" w:hAnsiTheme="minorEastAsia" w:eastAsiaTheme="minorEastAsia" w:cstheme="minorEastAsia"/>
          <w:b/>
          <w:bCs/>
          <w:sz w:val="28"/>
          <w:szCs w:val="28"/>
          <w:lang w:val="en-US"/>
        </w:rPr>
      </w:pPr>
      <w:bookmarkStart w:id="37" w:name="_Toc821"/>
      <w:r>
        <w:rPr>
          <w:rFonts w:hint="eastAsia" w:asciiTheme="minorEastAsia" w:hAnsiTheme="minorEastAsia" w:eastAsiaTheme="minorEastAsia" w:cstheme="minorEastAsia"/>
          <w:b/>
          <w:bCs/>
          <w:sz w:val="28"/>
          <w:szCs w:val="28"/>
          <w:lang w:val="en-US"/>
        </w:rPr>
        <w:t>2.5水源地环境风险</w:t>
      </w:r>
      <w:bookmarkEnd w:id="37"/>
    </w:p>
    <w:p>
      <w:pPr>
        <w:pStyle w:val="8"/>
        <w:spacing w:line="360" w:lineRule="auto"/>
        <w:ind w:left="0" w:firstLine="560" w:firstLineChars="200"/>
        <w:rPr>
          <w:sz w:val="28"/>
          <w:szCs w:val="28"/>
          <w:lang w:val="en-US"/>
        </w:rPr>
        <w:sectPr>
          <w:footerReference r:id="rId6" w:type="default"/>
          <w:pgSz w:w="11906" w:h="16838"/>
          <w:pgMar w:top="1440" w:right="1440" w:bottom="1440" w:left="1440" w:header="1134" w:footer="992" w:gutter="0"/>
          <w:pgNumType w:start="1"/>
          <w:cols w:space="720" w:num="1"/>
          <w:docGrid w:type="lines" w:linePitch="318" w:charSpace="0"/>
        </w:sectPr>
      </w:pPr>
      <w:r>
        <w:rPr>
          <w:rFonts w:hint="eastAsia"/>
          <w:sz w:val="28"/>
          <w:szCs w:val="28"/>
          <w:lang w:val="en-US"/>
        </w:rPr>
        <w:t>根据用水水源环境风险评估方法，分析得出，满月镇水源地固定源、流动源、非点源评分分别为 Rp=0、Rf=2、Ry=0，表明满月镇水源地固定源、流动源、非点源风险在可接受风险水平内。</w:t>
      </w:r>
    </w:p>
    <w:p>
      <w:pPr>
        <w:pStyle w:val="8"/>
        <w:spacing w:line="360" w:lineRule="auto"/>
        <w:ind w:left="0"/>
        <w:outlineLvl w:val="0"/>
        <w:rPr>
          <w:rFonts w:asciiTheme="minorEastAsia" w:hAnsiTheme="minorEastAsia" w:eastAsiaTheme="minorEastAsia" w:cstheme="minorEastAsia"/>
          <w:b/>
          <w:bCs/>
          <w:lang w:val="en-US"/>
        </w:rPr>
      </w:pPr>
      <w:bookmarkStart w:id="38" w:name="_Toc19968_WPSOffice_Level1"/>
      <w:bookmarkStart w:id="39" w:name="_Toc16274_WPSOffice_Level1"/>
      <w:bookmarkStart w:id="40" w:name="_Toc27882"/>
      <w:bookmarkStart w:id="41" w:name="_Toc15377_WPSOffice_Level1"/>
      <w:bookmarkStart w:id="42" w:name="_Toc13873_WPSOffice_Level1"/>
      <w:bookmarkStart w:id="43" w:name="_Toc13824"/>
      <w:r>
        <w:rPr>
          <w:rFonts w:hint="eastAsia" w:asciiTheme="minorEastAsia" w:hAnsiTheme="minorEastAsia" w:eastAsiaTheme="minorEastAsia" w:cstheme="minorEastAsia"/>
          <w:b/>
          <w:bCs/>
          <w:lang w:val="en-US"/>
        </w:rPr>
        <w:t>3 应急组织</w:t>
      </w:r>
      <w:bookmarkEnd w:id="38"/>
      <w:bookmarkEnd w:id="39"/>
      <w:bookmarkEnd w:id="40"/>
      <w:bookmarkEnd w:id="41"/>
      <w:bookmarkEnd w:id="42"/>
      <w:r>
        <w:rPr>
          <w:rFonts w:hint="eastAsia" w:asciiTheme="minorEastAsia" w:hAnsiTheme="minorEastAsia" w:eastAsiaTheme="minorEastAsia" w:cstheme="minorEastAsia"/>
          <w:b/>
          <w:bCs/>
          <w:lang w:val="en-US"/>
        </w:rPr>
        <w:t>指挥体系</w:t>
      </w:r>
      <w:bookmarkEnd w:id="43"/>
    </w:p>
    <w:p>
      <w:pPr>
        <w:pStyle w:val="8"/>
        <w:spacing w:line="360" w:lineRule="auto"/>
        <w:ind w:left="0"/>
        <w:outlineLvl w:val="1"/>
        <w:rPr>
          <w:rFonts w:asciiTheme="minorEastAsia" w:hAnsiTheme="minorEastAsia" w:eastAsiaTheme="minorEastAsia" w:cstheme="minorEastAsia"/>
          <w:b/>
          <w:bCs/>
          <w:sz w:val="28"/>
          <w:szCs w:val="28"/>
          <w:lang w:val="en-US"/>
        </w:rPr>
      </w:pPr>
      <w:bookmarkStart w:id="44" w:name="_Toc998"/>
      <w:bookmarkStart w:id="45" w:name="_Toc30339"/>
      <w:bookmarkStart w:id="46" w:name="_Toc13101"/>
      <w:r>
        <w:rPr>
          <w:rFonts w:hint="eastAsia" w:asciiTheme="minorEastAsia" w:hAnsiTheme="minorEastAsia" w:eastAsiaTheme="minorEastAsia" w:cstheme="minorEastAsia"/>
          <w:b/>
          <w:bCs/>
          <w:sz w:val="28"/>
          <w:szCs w:val="28"/>
          <w:lang w:val="en-US"/>
        </w:rPr>
        <w:t>3.1</w:t>
      </w:r>
      <w:bookmarkEnd w:id="44"/>
      <w:bookmarkEnd w:id="45"/>
      <w:r>
        <w:rPr>
          <w:rFonts w:hint="eastAsia" w:asciiTheme="minorEastAsia" w:hAnsiTheme="minorEastAsia" w:eastAsiaTheme="minorEastAsia" w:cstheme="minorEastAsia"/>
          <w:b/>
          <w:bCs/>
          <w:sz w:val="28"/>
          <w:szCs w:val="28"/>
          <w:lang w:val="en-US"/>
        </w:rPr>
        <w:t xml:space="preserve"> 应急组织指挥机构</w:t>
      </w:r>
      <w:bookmarkEnd w:id="46"/>
    </w:p>
    <w:p>
      <w:pPr>
        <w:pStyle w:val="8"/>
        <w:spacing w:line="360" w:lineRule="auto"/>
        <w:ind w:left="0"/>
        <w:rPr>
          <w:rFonts w:asciiTheme="minorEastAsia" w:hAnsiTheme="minorEastAsia" w:eastAsiaTheme="minorEastAsia" w:cstheme="minorEastAsia"/>
          <w:b/>
          <w:bCs/>
          <w:sz w:val="28"/>
          <w:szCs w:val="28"/>
          <w:lang w:val="en-US"/>
        </w:rPr>
      </w:pPr>
      <w:r>
        <w:rPr>
          <w:rFonts w:hint="eastAsia" w:asciiTheme="minorEastAsia" w:hAnsiTheme="minorEastAsia" w:eastAsiaTheme="minorEastAsia" w:cstheme="minorEastAsia"/>
          <w:b/>
          <w:bCs/>
          <w:sz w:val="28"/>
          <w:szCs w:val="28"/>
          <w:lang w:val="en-US"/>
        </w:rPr>
        <w:t>3.1.1 机构组成</w:t>
      </w:r>
    </w:p>
    <w:p>
      <w:pPr>
        <w:pStyle w:val="8"/>
        <w:spacing w:line="360" w:lineRule="auto"/>
        <w:ind w:left="0" w:firstLine="560" w:firstLineChars="200"/>
        <w:rPr>
          <w:rFonts w:asciiTheme="minorEastAsia" w:hAnsiTheme="minorEastAsia" w:eastAsiaTheme="minorEastAsia" w:cstheme="minorEastAsia"/>
          <w:sz w:val="28"/>
          <w:szCs w:val="28"/>
          <w:lang w:val="en-US"/>
        </w:rPr>
      </w:pPr>
      <w:bookmarkStart w:id="47" w:name="_Toc594"/>
      <w:r>
        <w:rPr>
          <w:rFonts w:hint="eastAsia" w:asciiTheme="minorEastAsia" w:hAnsiTheme="minorEastAsia" w:eastAsiaTheme="minorEastAsia" w:cstheme="minorEastAsia"/>
          <w:sz w:val="28"/>
          <w:szCs w:val="28"/>
          <w:lang w:val="en-US"/>
        </w:rPr>
        <w:t>满月镇饮用水水源地突发环境事件</w:t>
      </w:r>
      <w:r>
        <w:rPr>
          <w:rFonts w:hint="eastAsia"/>
          <w:sz w:val="28"/>
          <w:szCs w:val="28"/>
          <w:lang w:val="en-US"/>
        </w:rPr>
        <w:t>应急指挥部</w:t>
      </w:r>
      <w:r>
        <w:rPr>
          <w:rFonts w:hint="eastAsia" w:asciiTheme="minorEastAsia" w:hAnsiTheme="minorEastAsia" w:eastAsiaTheme="minorEastAsia" w:cstheme="minorEastAsia"/>
          <w:sz w:val="28"/>
          <w:szCs w:val="28"/>
          <w:lang w:val="en-US"/>
        </w:rPr>
        <w:t>，在满月镇人民政府的统一指挥下负责领导、组织和协调全镇涉及饮用水源突发环境事件应急工作。总指挥由满月镇党委书记担任，副总指挥由满月镇镇长担任。成员由满月镇副镇长担任，下设应急办公室和各应急处置组。</w:t>
      </w:r>
    </w:p>
    <w:p>
      <w:pPr>
        <w:pStyle w:val="8"/>
        <w:spacing w:line="360" w:lineRule="auto"/>
        <w:ind w:left="0"/>
        <w:rPr>
          <w:rFonts w:asciiTheme="minorEastAsia" w:hAnsiTheme="minorEastAsia" w:eastAsiaTheme="minorEastAsia" w:cstheme="minorEastAsia"/>
          <w:sz w:val="28"/>
          <w:szCs w:val="28"/>
          <w:lang w:val="en-US"/>
        </w:rPr>
      </w:pPr>
      <w:r>
        <w:rPr>
          <w:rFonts w:asciiTheme="minorEastAsia" w:hAnsiTheme="minorEastAsia" w:eastAsiaTheme="minorEastAsia" w:cstheme="minorEastAsia"/>
          <w:sz w:val="28"/>
          <w:szCs w:val="28"/>
        </w:rPr>
        <w:pict>
          <v:group id="_x0000_s2053" o:spid="_x0000_s2053" o:spt="203" style="position:absolute;left:0pt;margin-left:-21.95pt;margin-top:17.15pt;height:277.55pt;width:498.35pt;z-index:251660288;mso-width-relative:page;mso-height-relative:page;" coordorigin="6826,144218" coordsize="9967,5551203" o:gfxdata="UEsDBAoAAAAAAIdO4kAAAAAAAAAAAAAAAAAEAAAAZHJzL1BLAwQUAAAACACHTuJAIkbGLdsAAAAK&#10;AQAADwAAAGRycy9kb3ducmV2LnhtbE2PQWuDQBCF74X+h2UCvSWrUUs0rqGEtqdQSFIovU10ohJ3&#10;VtyNJv++21N7HObjve/lm5vuxEiDbQ0rCBcBCOLSVC3XCj6Pb/MVCOuQK+wMk4I7WdgUjw85ZpWZ&#10;eE/jwdXCh7DNUEHjXJ9JacuGNNqF6Yn972wGjc6fQy2rAScfrju5DIJnqbFl39BgT9uGysvhqhW8&#10;Tzi9ROHruLuct/fvY/LxtQtJqadZGKxBOLq5Pxh+9b06FN7pZK5cWdEpmMdR6lEFURyB8ECaLP2W&#10;k4JklcYgi1z+n1D8AFBLAwQUAAAACACHTuJAKBnzP28FAACDIQAADgAAAGRycy9lMm9Eb2MueG1s&#10;7VpJbyNFFL4j8R9afSd2L7bbVpxR5EwipIiJFJZzuRe7pe6qpqocOxwRB06IIxISSAiQkIDT3BDi&#10;14TMz+Crpb0neDJiIIx9sKu6ql/Ve/W+t5UPn8zKwrlKucgZ7bveQdN1UhqzJKejvvvB+6fvRK4j&#10;JKEJKRhN++51KtwnR2+/dTiteqnPxqxIUu6ACBW9adV3x1JWvUZDxOO0JOKAVSnFYMZ4SSS6fNRI&#10;OJmCelk0/Gaz3ZgynlScxakQeHpiBl1Lke9CkGVZHqcnLJ6UKZWGKk8LIsGSGOeVcI/0brMsjeWz&#10;LBOpdIq+C06l/sYiaA/Vd+PokPRGnFTjPLZbILtsYY2nkuQUi85JnRBJnAnPN0iVecyZYJk8iFnZ&#10;MIxoiYALr7kmmzPOJpXmZdSbjqq50HFQa1J/MNn4vasL7uRJ3/VbrkNJiRO//e2zmy8/d/AA0plW&#10;ox4mnfHqsrrg9sHI9BTDs4yX6hesODMt1+u5XNOZdGI8bAd+txmCfoyxoOWHUaRpk148xvGo99qR&#10;33YdDHth6HuROZd4/NRS6HbbHfN6q9Xy1GijXrqhdjjf0LSCVoqFqMSriepyTKpUn4BQUrCi8uaS&#10;+vanm9+/c/SG1MqYMpeS6AkIbIuIukEz3GC1FlUQeV3DaNTxV/gkvYoLeZay0lGNvsuh3FrnyNW5&#10;kEYk9RS1rGBFnpzmRaE7fDQcFNy5IgDCqf5Y6ivTCupMcQZ+pwmAxATwzgArNMsKKiLoyHVIMYLd&#10;iCXXa6+8LZYXaerPtkXUJk+IGJvNaApqGumVuYRpKfKy70bLbxdUjaYazpZVJW0jX9WSs+FMq6bo&#10;DVlyjWPizEBdVPFpjvXOiZAXhAPbYAzWTz7DV1YwcMtsy3XGjH+y7bmaDz3CqOtMYSsgiY8nhKeu&#10;U7xLoWFdKK0yLroTtjo+Onx5ZLg8QiflgOEUoEXYnW6q+bKomxln5UcwksdqVQwRGmNtI3PbGUhj&#10;w2Bm4/T4WE+DQamIPKeXVayIK5FRdjyRLMu1dihBGekAPaoDnCh8vw7AgAtrWyxitOVVa+8EGc/v&#10;KvOkzUMrgni1uswxE6hBZVu6gbYcc9vwhmNGn/IeJc5jQYlfo+TFp1/Br7z445s/v/jh9ucfHU+7&#10;AguXATVuRcjBjGrXDUuSJ3CiehYMJU3mIwCeHjI+c4WC6iy7KGMzW6GxvE5W5NWHtSGx3t3zwg4o&#10;GjcdBcEqDj2va32X1/FWnfQGEIcI3AaMUvgwxv373BhlyodpwBvv1A5a2MOrOae7PeDLOSfSkyQv&#10;ntLEkdcVQifCOZvCSfTdMk3gHlK4StXC9mGUlB9bw6QxyGpYHcdrtMhBrWu31iLrw7QKclmHeqsa&#10;olyK1YSleC1qryuCH3ggrwyy5wUdy3wdKNYhyhsZxayd/j5uUUj+D8ctCNRX45ZQafPOKOmG81B/&#10;jxKEvDvG+nuUPK7oHtH3Kkps5WDX6N7rRghhdFSxh8keJjqb/R8mwShwrcKk/VLOBEWGPUweUDna&#10;e5NH5U1U8czAZD0LNnUfG3zVWfBysoukQye7uj6kjx3VJTNRvbWZ7HpNW2fcmu12uhEoarfUCUKd&#10;0CK5thXpQFWpTY6D4tT9Oc4+2TUx87+V7Przgv2GSulTvUelYLN3Vaml7Njz/Pl1xqbqhCHqOXvV&#10;eRR1En9RJ/n6uarG/frLzffPF5U5jC8Swm02CRnkQxSoqa657rI9nsqalV36W8sjJCf5aLwotZl7&#10;gTtujPaltn/ittBfFBG2q9ByTWGbCiG9eogKoQgHD2Xdl2+vVGv3VWtQ0NS52t03JnsNWlygbPFf&#10;iDL03byu79r/EajL/+W+Lu4u/jtx9B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jBwAAW0NvbnRlbnRfVHlwZXNdLnhtbFBLAQIUAAoAAAAAAIdO&#10;4kAAAAAAAAAAAAAAAAAGAAAAAAAAAAAAEAAAAMUGAABfcmVscy9QSwECFAAUAAAACACHTuJAihRm&#10;PNEAAACUAQAACwAAAAAAAAABACAAAADpBgAAX3JlbHMvLnJlbHNQSwECFAAKAAAAAACHTuJAAAAA&#10;AAAAAAAAAAAABAAAAAAAAAAAABAAAAAAAAAAZHJzL1BLAQIUABQAAAAIAIdO4kAiRsYt2wAAAAoB&#10;AAAPAAAAAAAAAAEAIAAAACIAAABkcnMvZG93bnJldi54bWxQSwECFAAUAAAACACHTuJAKBnzP28F&#10;AACDIQAADgAAAAAAAAABACAAAAAqAQAAZHJzL2Uyb0RvYy54bWxQSwUGAAAAAAYABgBZAQAACwkA&#10;AAAA&#10;">
            <o:lock v:ext="edit"/>
            <v:rect id="_x0000_s2064" o:spid="_x0000_s2064" o:spt="1" style="position:absolute;left:9304;top:144218;height:872;width:3819;v-text-anchor:middle;" coordsize="21600,21600" o:gfxdata="UEsDBAoAAAAAAIdO4kAAAAAAAAAAAAAAAAAEAAAAZHJzL1BLAwQUAAAACACHTuJAYn8MhbkAAADa&#10;AAAADwAAAGRycy9kb3ducmV2LnhtbEVPTYvCMBC9C/6HMAt700QPslTTHpZd8OCl3T3obWjGtthM&#10;ShNt6683guBpeLzP2WWjbcWNet841rBaKhDEpTMNVxr+/34XXyB8QDbYOiYNE3nI0vlsh4lxA+d0&#10;K0IlYgj7BDXUIXSJlL6syaJfuo44cmfXWwwR9pU0PQ4x3LZyrdRGWmw4NtTY0XdN5aW4Wg1YjKdp&#10;mo7DIPNWNT/3vCsOudafHyu1BRFoDG/xy703cT48X3lemT4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J/DIW5AAAA2gAA&#10;AA8AAAAAAAAAAQAgAAAAIgAAAGRycy9kb3ducmV2LnhtbFBLAQIUABQAAAAIAIdO4kAzLwWeOwAA&#10;ADkAAAAQAAAAAAAAAAEAIAAAAAgBAABkcnMvc2hhcGV4bWwueG1sUEsFBgAAAAAGAAYAWwEAALID&#10;AAAAAA==&#10;">
              <v:path/>
              <v:fill focussize="0,0"/>
              <v:stroke weight="1pt"/>
              <v:imagedata o:title=""/>
              <o:lock v:ext="edit"/>
              <v:textbox>
                <w:txbxContent>
                  <w:p>
                    <w:pPr>
                      <w:jc w:val="center"/>
                    </w:pPr>
                    <w:r>
                      <w:rPr>
                        <w:rFonts w:hint="eastAsia"/>
                      </w:rPr>
                      <w:t>开州区满月镇饮用水水源地突发环境事件应急指挥部</w:t>
                    </w:r>
                  </w:p>
                </w:txbxContent>
              </v:textbox>
            </v:rect>
            <v:rect id="_x0000_s2063" o:spid="_x0000_s2063" o:spt="1" style="position:absolute;left:12925;top:145820;height:938;width:3325;v-text-anchor:middle;" fillcolor="#FFFFFF" filled="t" stroked="t" coordsize="21600,21600" o:gfxdata="UEsDBAoAAAAAAIdO4kAAAAAAAAAAAAAAAAAEAAAAZHJzL1BLAwQUAAAACACHTuJAuJQCIb0AAADb&#10;AAAADwAAAGRycy9kb3ducmV2LnhtbEWPsW7DMAxE9wL9B4EBujWSMxSBE8VDkAAdutjN0G6ExdhG&#10;LMqw1NjO15dDgW4k7nj3uC9m36s7jbELbCFbG1DEdXAdNxYun+fXLaiYkB32gcnCQhGKw/PTHnMX&#10;Ji7pXqVGSQjHHC20KQ251rFuyWNch4FYtGsYPSZZx0a7EScJ973eGPOmPXYsDS0OdGypvlU/3gJW&#10;8/eyLF/TpMvedKdHOVQfpbUvq8zsQCWa07/57/rdCb7Qyy8ygD7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4lAIhvQAA&#10;ANsAAAAPAAAAAAAAAAEAIAAAACIAAABkcnMvZG93bnJldi54bWxQSwECFAAUAAAACACHTuJAMy8F&#10;njsAAAA5AAAAEAAAAAAAAAABACAAAAAMAQAAZHJzL3NoYXBleG1sLnhtbFBLBQYAAAAABgAGAFsB&#10;AAC2AwAAAAA=&#10;">
              <v:path/>
              <v:fill on="t" focussize="0,0"/>
              <v:stroke weight="1pt" color="#000000"/>
              <v:imagedata o:title=""/>
              <o:lock v:ext="edit"/>
              <v:textbox>
                <w:txbxContent>
                  <w:p>
                    <w:pPr>
                      <w:jc w:val="center"/>
                      <w:rPr>
                        <w:sz w:val="28"/>
                        <w:szCs w:val="28"/>
                      </w:rPr>
                    </w:pPr>
                    <w:r>
                      <w:rPr>
                        <w:rFonts w:hint="eastAsia"/>
                        <w:sz w:val="28"/>
                        <w:szCs w:val="28"/>
                      </w:rPr>
                      <w:t>应急办公室</w:t>
                    </w:r>
                  </w:p>
                </w:txbxContent>
              </v:textbox>
            </v:rect>
            <v:shape id="_x0000_s2062" o:spid="_x0000_s2062" o:spt="33" type="#_x0000_t33" style="position:absolute;left:11470;top:144833;flip:y;height:1711;width:1199;rotation:-5898240f;" filled="f" stroked="t" coordsize="21600,21600" o:gfxdata="UEsDBAoAAAAAAIdO4kAAAAAAAAAAAAAAAAAEAAAAZHJzL1BLAwQUAAAACACHTuJAtaH1Xr4AAADb&#10;AAAADwAAAGRycy9kb3ducmV2LnhtbEWPQWsCMRCF74L/IYzQS6mJUqTdbtaDVutJ0Jb2Omymm6Wb&#10;ybqJrv57IxS8zfDevO9NPj+7RpyoC7VnDZOxAkFcelNzpeHrc/X0AiJEZIONZ9JwoQDzYjjIMTO+&#10;5x2d9rESKYRDhhpsjG0mZSgtOQxj3xIn7dd3DmNau0qaDvsU7ho5VWomHdacCBZbWlgq//ZHlyC8&#10;UMuf18fV8/vHoZ9tt98O7Vrrh9FEvYGIdI538//1xqT6U7j9kgaQx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aH1Xr4A&#10;AADbAAAADwAAAAAAAAABACAAAAAiAAAAZHJzL2Rvd25yZXYueG1sUEsBAhQAFAAAAAgAh07iQDMv&#10;BZ47AAAAOQAAABAAAAAAAAAAAQAgAAAADQEAAGRycy9zaGFwZXhtbC54bWxQSwUGAAAAAAYABgBb&#10;AQAAtwMAAAAA&#10;">
              <v:path arrowok="t"/>
              <v:fill on="f" focussize="0,0"/>
              <v:stroke weight="0.5pt" color="#000000" endarrow="open"/>
              <v:imagedata o:title=""/>
              <o:lock v:ext="edit"/>
            </v:shape>
            <v:rect id="_x0000_s2061" o:spid="_x0000_s2061" o:spt="1" style="position:absolute;left:6826;top:148633;height:1137;width:2313;v-text-anchor:middle;" fillcolor="#FFFFFF" filled="t" stroked="t" coordsize="21600,21600" o:gfxdata="UEsDBAoAAAAAAIdO4kAAAAAAAAAAAAAAAAAEAAAAZHJzL1BLAwQUAAAACACHTuJASEacVrsAAADb&#10;AAAADwAAAGRycy9kb3ducmV2LnhtbEVPPWvDMBDdA/kP4gLZGskthOJa9lAS6NDFToZkO6yrbWqd&#10;jKXGdn99VChku8f7vKyYbS9uNPrOsYZkp0AQ18503Gg4n45PryB8QDbYOyYNC3ko8vUqw9S4iUu6&#10;VaERMYR9ihraEIZUSl+3ZNHv3EAcuS83WgwRjo00I04x3PbyWam9tNhxbGhxoPeW6u/qx2rAar4u&#10;y3KZJln2qjv8lkP1WWq93STqDUSgOTzE/+4PE+e/wN8v8QCZ3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EacVrsAAADb&#10;AAAADwAAAAAAAAABACAAAAAiAAAAZHJzL2Rvd25yZXYueG1sUEsBAhQAFAAAAAgAh07iQDMvBZ47&#10;AAAAOQAAABAAAAAAAAAAAQAgAAAACgEAAGRycy9zaGFwZXhtbC54bWxQSwUGAAAAAAYABgBbAQAA&#10;tAMAAAAA&#10;">
              <v:path/>
              <v:fill on="t" focussize="0,0"/>
              <v:stroke weight="1pt" color="#000000"/>
              <v:imagedata o:title=""/>
              <o:lock v:ext="edit"/>
              <v:textbox>
                <w:txbxContent>
                  <w:p>
                    <w:pPr>
                      <w:jc w:val="center"/>
                    </w:pPr>
                    <w:r>
                      <w:rPr>
                        <w:rFonts w:hint="eastAsia" w:ascii="宋体" w:hAnsi="宋体" w:cs="宋体"/>
                        <w:sz w:val="28"/>
                        <w:szCs w:val="28"/>
                      </w:rPr>
                      <w:t>现场处置组</w:t>
                    </w:r>
                  </w:p>
                </w:txbxContent>
              </v:textbox>
            </v:rect>
            <v:rect id="_x0000_s2060" o:spid="_x0000_s2060" o:spt="1" style="position:absolute;left:9404;top:148633;height:1137;width:2313;v-text-anchor:middle;" fillcolor="#FFFFFF" filled="t" stroked="t" coordsize="21600,21600" o:gfxdata="UEsDBAoAAAAAAIdO4kAAAAAAAAAAAAAAAAAEAAAAZHJzL1BLAwQUAAAACACHTuJAx68EIrsAAADb&#10;AAAADwAAAGRycy9kb3ducmV2LnhtbEVPPWvDMBDdA/kP4gLZGsmlhOJa9lAS6NDFToZkO6yrbWqd&#10;jKXGdn99VChku8f7vKyYbS9uNPrOsYZkp0AQ18503Gg4n45PryB8QDbYOyYNC3ko8vUqw9S4iUu6&#10;VaERMYR9ihraEIZUSl+3ZNHv3EAcuS83WgwRjo00I04x3PbyWam9tNhxbGhxoPeW6u/qx2rAar4u&#10;y3KZJln2qjv8lkP1WWq93STqDUSgOTzE/+4PE+e/wN8v8QCZ3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68EIrsAAADb&#10;AAAADwAAAAAAAAABACAAAAAiAAAAZHJzL2Rvd25yZXYueG1sUEsBAhQAFAAAAAgAh07iQDMvBZ47&#10;AAAAOQAAABAAAAAAAAAAAQAgAAAACgEAAGRycy9zaGFwZXhtbC54bWxQSwUGAAAAAAYABgBbAQAA&#10;tAMAAAAA&#10;">
              <v:path/>
              <v:fill on="t" focussize="0,0"/>
              <v:stroke weight="1pt" color="#000000"/>
              <v:imagedata o:title=""/>
              <o:lock v:ext="edit"/>
              <v:textbox>
                <w:txbxContent>
                  <w:p>
                    <w:pPr>
                      <w:jc w:val="center"/>
                    </w:pPr>
                    <w:r>
                      <w:rPr>
                        <w:rFonts w:hint="eastAsia" w:ascii="宋体" w:hAnsi="宋体" w:cs="宋体"/>
                        <w:sz w:val="28"/>
                        <w:szCs w:val="28"/>
                      </w:rPr>
                      <w:t>综合协调组</w:t>
                    </w:r>
                  </w:p>
                </w:txbxContent>
              </v:textbox>
            </v:rect>
            <v:rect id="_x0000_s2059" o:spid="_x0000_s2059" o:spt="1" style="position:absolute;left:11981;top:148633;height:1137;width:2313;v-text-anchor:middle;" fillcolor="#FFFFFF" filled="t" stroked="t" coordsize="21600,21600" o:gfxdata="UEsDBAoAAAAAAIdO4kAAAAAAAAAAAAAAAAAEAAAAZHJzL1BLAwQUAAAACACHTuJAqOOhubsAAADb&#10;AAAADwAAAGRycy9kb3ducmV2LnhtbEVPPWvDMBDdA/kP4gLZGsmFhuJa9lAS6NDFToZkO6yrbWqd&#10;jKXGdn99VChku8f7vKyYbS9uNPrOsYZkp0AQ18503Gg4n45PryB8QDbYOyYNC3ko8vUqw9S4iUu6&#10;VaERMYR9ihraEIZUSl+3ZNHv3EAcuS83WgwRjo00I04x3PbyWam9tNhxbGhxoPeW6u/qx2rAar4u&#10;y3KZJln2qjv8lkP1WWq93STqDUSgOTzE/+4PE+e/wN8v8QCZ3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OOhubsAAADb&#10;AAAADwAAAAAAAAABACAAAAAiAAAAZHJzL2Rvd25yZXYueG1sUEsBAhQAFAAAAAgAh07iQDMvBZ47&#10;AAAAOQAAABAAAAAAAAAAAQAgAAAACgEAAGRycy9zaGFwZXhtbC54bWxQSwUGAAAAAAYABgBbAQAA&#10;tAMAAAAA&#10;">
              <v:path/>
              <v:fill on="t" focussize="0,0"/>
              <v:stroke weight="1pt" color="#000000"/>
              <v:imagedata o:title=""/>
              <o:lock v:ext="edit"/>
              <v:textbox>
                <w:txbxContent>
                  <w:p>
                    <w:pPr>
                      <w:jc w:val="center"/>
                    </w:pPr>
                    <w:r>
                      <w:rPr>
                        <w:rFonts w:hint="eastAsia" w:ascii="宋体" w:hAnsi="宋体" w:cs="宋体"/>
                        <w:sz w:val="28"/>
                        <w:szCs w:val="28"/>
                      </w:rPr>
                      <w:t>应急保障组</w:t>
                    </w:r>
                  </w:p>
                </w:txbxContent>
              </v:textbox>
            </v:rect>
            <v:rect id="_x0000_s2058" o:spid="_x0000_s2058" o:spt="1" style="position:absolute;left:14481;top:148633;height:1137;width:2313;v-text-anchor:middle;" fillcolor="#FFFFFF" filled="t" stroked="t" coordsize="21600,21600" o:gfxdata="UEsDBAoAAAAAAIdO4kAAAAAAAAAAAAAAAAAEAAAAZHJzL1BLAwQUAAAACACHTuJAWDE/zroAAADb&#10;AAAADwAAAGRycy9kb3ducmV2LnhtbEVPO2vDMBDeC/kP4gLdaskdQnGsZAgJZMhiJ0O7HdbFNrFO&#10;xlL86K+vCoVu9/E9L9/PthMjDb51rCFNFAjiypmWaw236+ntA4QPyAY7x6RhIQ/73eolx8y4iQsa&#10;y1CLGMI+Qw1NCH0mpa8asugT1xNH7u4GiyHCoZZmwCmG206+K7WRFluODQ32dGioepRPqwHL+WtZ&#10;ls9pkkWn2uN30ZeXQuvXdaq2IALN4V/85z6bOH8Dv7/EA+Tu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YMT/OugAAANsA&#10;AAAPAAAAAAAAAAEAIAAAACIAAABkcnMvZG93bnJldi54bWxQSwECFAAUAAAACACHTuJAMy8FnjsA&#10;AAA5AAAAEAAAAAAAAAABACAAAAAJAQAAZHJzL3NoYXBleG1sLnhtbFBLBQYAAAAABgAGAFsBAACz&#10;AwAAAAA=&#10;">
              <v:path/>
              <v:fill on="t" focussize="0,0"/>
              <v:stroke weight="1pt" color="#000000"/>
              <v:imagedata o:title=""/>
              <o:lock v:ext="edit"/>
              <v:textbox>
                <w:txbxContent>
                  <w:p>
                    <w:pPr>
                      <w:jc w:val="center"/>
                    </w:pPr>
                    <w:r>
                      <w:rPr>
                        <w:rFonts w:hint="eastAsia" w:ascii="宋体" w:hAnsi="宋体" w:cs="宋体"/>
                        <w:sz w:val="28"/>
                        <w:szCs w:val="28"/>
                      </w:rPr>
                      <w:t>应急监测组</w:t>
                    </w:r>
                  </w:p>
                </w:txbxContent>
              </v:textbox>
            </v:rect>
            <v:shape id="_x0000_s2057" o:spid="_x0000_s2057" o:spt="33" type="#_x0000_t33" style="position:absolute;left:7983;top:147341;flip:y;height:1292;width:3218;rotation:11796480f;" filled="f" stroked="t" coordsize="21600,21600" o:gfxdata="UEsDBAoAAAAAAIdO4kAAAAAAAAAAAAAAAAAEAAAAZHJzL1BLAwQUAAAACACHTuJAZYknK7gAAADb&#10;AAAADwAAAGRycy9kb3ducmV2LnhtbEVPzYrCMBC+L/gOYYS9ramBFa1GEWHFk4vVBxiasa0mk9Jk&#10;a317c1jw+PH9rzaDs6KnLjSeNUwnGQji0puGKw2X88/XHESIyAatZ9LwpACb9ehjhbnxDz5RX8RK&#10;pBAOOWqoY2xzKUNZk8Mw8S1x4q6+cxgT7CppOnykcGelyrKZdNhwaqixpV1N5b34cxoGyze1KKrz&#10;8bn9nlnVq9vvaa/153iaLUFEGuJb/O8+GA0qrU9f0g+Q6x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ZYknK7gAAADbAAAA&#10;DwAAAAAAAAABACAAAAAiAAAAZHJzL2Rvd25yZXYueG1sUEsBAhQAFAAAAAgAh07iQDMvBZ47AAAA&#10;OQAAABAAAAAAAAAAAQAgAAAABwEAAGRycy9zaGFwZXhtbC54bWxQSwUGAAAAAAYABgBbAQAAsQMA&#10;AAAA&#10;">
              <v:path arrowok="t"/>
              <v:fill on="f" focussize="0,0"/>
              <v:stroke weight="0.5pt" color="#000000" endarrow="open"/>
              <v:imagedata o:title=""/>
              <o:lock v:ext="edit"/>
            </v:shape>
            <v:shape id="_x0000_s2056" o:spid="_x0000_s2056" o:spt="33" type="#_x0000_t33" style="position:absolute;left:11226;top:147341;height:1292;width:4412;" filled="f" stroked="t" coordsize="21600,21600" o:gfxdata="UEsDBAoAAAAAAIdO4kAAAAAAAAAAAAAAAAAEAAAAZHJzL1BLAwQUAAAACACHTuJAliJ257oAAADb&#10;AAAADwAAAGRycy9kb3ducmV2LnhtbEWPQYvCMBSE74L/ITzBm6b1INI1elCU3Yuw1sMen82zKTYv&#10;JYlV//1GEDwOM/MNs1w/bCt68qFxrCCfZiCIK6cbrhWcyt1kASJEZI2tY1LwpADr1XCwxEK7O/9S&#10;f4y1SBAOBSowMXaFlKEyZDFMXUecvIvzFmOSvpba4z3BbStnWTaXFhtOCwY72hiqrsebVVCa83bf&#10;9aXW9nSpfny9o79DrtR4lGdfICI94if8bn9rBbMcXl/SD5Cr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WInbnugAAANsA&#10;AAAPAAAAAAAAAAEAIAAAACIAAABkcnMvZG93bnJldi54bWxQSwECFAAUAAAACACHTuJAMy8FnjsA&#10;AAA5AAAAEAAAAAAAAAABACAAAAAJAQAAZHJzL3NoYXBleG1sLnhtbFBLBQYAAAAABgAGAFsBAACz&#10;AwAAAAA=&#10;">
              <v:path arrowok="t"/>
              <v:fill on="f" focussize="0,0"/>
              <v:stroke weight="0.5pt" color="#000000" endarrow="open"/>
              <v:imagedata o:title=""/>
              <o:lock v:ext="edit"/>
            </v:shape>
            <v:shape id="_x0000_s2055" o:spid="_x0000_s2055" o:spt="32" type="#_x0000_t32" style="position:absolute;left:10551;top:147341;height:1292;width:10;" filled="f" stroked="t" coordsize="21600,21600" o:gfxdata="UEsDBAoAAAAAAIdO4kAAAAAAAAAAAAAAAAAEAAAAZHJzL1BLAwQUAAAACACHTuJALjK5OL0AAADb&#10;AAAADwAAAGRycy9kb3ducmV2LnhtbEWP26rCMBRE3wX/IWzhvIimXhCtRtFzEC9vXj5g02zb2man&#10;NDle/t4Igo/DzKxhZouHKcWNapdbVtDrRiCIE6tzThWcT+vOGITzyBpLy6TgSQ4W82ZjhrG2dz7Q&#10;7ehTESDsYlSQeV/FUrokI4Ouayvi4F1sbdAHWadS13gPcFPKfhSNpMGcw0KGFf1mlBTHf6Pgct2N&#10;VsPkut+4p2lvJ8vC/pWFUj+tXjQF4enhv+FPe6sV9Afw/hJ+gJy/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uMrk4vQAA&#10;ANsAAAAPAAAAAAAAAAEAIAAAACIAAABkcnMvZG93bnJldi54bWxQSwECFAAUAAAACACHTuJAMy8F&#10;njsAAAA5AAAAEAAAAAAAAAABACAAAAAMAQAAZHJzL3NoYXBleG1sLnhtbFBLBQYAAAAABgAGAFsB&#10;AAC2AwAAAAA=&#10;">
              <v:path arrowok="t"/>
              <v:fill on="f" focussize="0,0"/>
              <v:stroke weight="0.5pt" color="#000000" joinstyle="miter" endarrow="open"/>
              <v:imagedata o:title=""/>
              <o:lock v:ext="edit"/>
            </v:shape>
            <v:shape id="_x0000_s2054" o:spid="_x0000_s2054" o:spt="32" type="#_x0000_t32" style="position:absolute;left:13138;top:147328;height:1305;width:0;" filled="f" stroked="t" coordsize="21600,21600" o:gfxdata="UEsDBAoAAAAAAIdO4kAAAAAAAAAAAAAAAAAEAAAAZHJzL1BLAwQUAAAACACHTuJAodshTL4AAADb&#10;AAAADwAAAGRycy9kb3ducmV2LnhtbEWP0WrCQBRE34X+w3ILfRGzUURs6irVUqq+mfoBl+w1icne&#10;DdltYv6+Kwg+DjNzhlltbqYWHbWutKxgGsUgiDOrS84VnH+/J0sQziNrrC2TgoEcbNYvoxUm2vZ8&#10;oi71uQgQdgkqKLxvEildVpBBF9mGOHgX2xr0Qba51C32AW5qOYvjhTRYclgosKFdQVmV/hkFl+th&#10;sZ1n1+OPG8x4//5Z2a+6UurtdRp/gPB088/wo73XCmZzuH8JP0Cu/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dshTL4A&#10;AADbAAAADwAAAAAAAAABACAAAAAiAAAAZHJzL2Rvd25yZXYueG1sUEsBAhQAFAAAAAgAh07iQDMv&#10;BZ47AAAAOQAAABAAAAAAAAAAAQAgAAAADQEAAGRycy9zaGFwZXhtbC54bWxQSwUGAAAAAAYABgBb&#10;AQAAtwMAAAAA&#10;">
              <v:path arrowok="t"/>
              <v:fill on="f" focussize="0,0"/>
              <v:stroke weight="0.5pt" color="#000000" joinstyle="miter" endarrow="open"/>
              <v:imagedata o:title=""/>
              <o:lock v:ext="edit"/>
            </v:shape>
          </v:group>
        </w:pict>
      </w:r>
      <w:r>
        <w:rPr>
          <w:rFonts w:asciiTheme="minorEastAsia" w:hAnsiTheme="minorEastAsia" w:eastAsiaTheme="minorEastAsia" w:cstheme="minorEastAsia"/>
          <w:sz w:val="28"/>
          <w:szCs w:val="28"/>
        </w:rPr>
        <w:pict>
          <v:line id="_x0000_s2052" o:spid="_x0000_s2052" o:spt="20" style="position:absolute;left:0pt;margin-left:197.4pt;margin-top:120.8pt;height:53.75pt;width:0pt;z-index:251659264;mso-width-relative:page;mso-height-relative:page;" stroked="t" coordsize="21600,21600" o:gfxdata="UEsDBAoAAAAAAIdO4kAAAAAAAAAAAAAAAAAEAAAAZHJzL1BLAwQUAAAACACHTuJAGxhoc9gAAAAL&#10;AQAADwAAAGRycy9kb3ducmV2LnhtbE2PPU/DMBCGdyT+g3VIbNRJifoR4nRAYkBCAgIDo5tck7T2&#10;OdhuEv49hxhgu49Xzz1X7GZrxIg+9I4UpIsEBFLtmp5aBe9vDzcbECFqarRxhAq+MMCuvLwodN64&#10;iV5xrGIrGEIh1wq6GIdcylB3aHVYuAGJdwfnrY7c+lY2Xk8Mt0Yuk2Qlre6JL3R6wPsO61N1tkyh&#10;9edhNv7j5fmp21TTER/HNSp1fZUmdyAizvEvDD/6rA4lO+3dmZogjILbbcbqUcEyS1cgOPE72XOR&#10;bVOQZSH//1B+A1BLAwQUAAAACACHTuJAqZyJ1/ABAAC+AwAADgAAAGRycy9lMm9Eb2MueG1srVNL&#10;btswEN0X6B0I7mvJju04guUsYqSbojXQ5gBjipII8AcOY9mX6AUKdNeuuuy+t2l6jA4lNUnTTRbV&#10;ghrO53He43B9eTSaHWRA5WzJp5OcM2mFq5RtSn7z4frVijOMYCvQzsqSnyTyy83LF+vOF3LmWqcr&#10;GRiBWCw6X/I2Rl9kGYpWGsCJ89JSsHbBQKRtaLIqQEfoRmezPF9mnQuVD05IRPJuhyAfEcNzAF1d&#10;KyG3TtwaaeOAGqSGSJSwVR75pu+2rqWI7+oaZWS65MQ09isdQvY+rdlmDUUTwLdKjC3Ac1p4wsmA&#10;snToPdQWIrDboP6BMkoEh66OE+FMNhDpFSEW0/yJNu9b8LLnQlKjvxcd/x+seHvYBaYqmoQLziwY&#10;uvG7T99/fvzy68dnWu++fWUUIZk6jwVlX9ldGHfodyFxPtbBpD+xYceSny2m8/PZgrNTyRfn83ye&#10;jzLLY2SCEkh7QbHlarakNALLHjB8wPhaOsOSUXKtbBIACji8wTik/klJbuuuldbkh0Jb1hHo2SLB&#10;Aw1mTQNBpvFEDm3DGeiGJl7E0COi06pK1akYQ7O/0oEdIM1J/42N/ZWWjt4CtkNeH0ppUBgV6VFo&#10;ZUq+elytLbFLyg1aJWvvqlMvYe+na+35jyOY5ubxvq9+eHab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BsYaHPYAAAACwEAAA8AAAAAAAAAAQAgAAAAIgAAAGRycy9kb3ducmV2LnhtbFBLAQIUABQA&#10;AAAIAIdO4kCpnInX8AEAAL4DAAAOAAAAAAAAAAEAIAAAACcBAABkcnMvZTJvRG9jLnhtbFBLBQYA&#10;AAAABgAGAFkBAACJBQAAAAA=&#10;">
            <v:path arrowok="t"/>
            <v:fill focussize="0,0"/>
            <v:stroke weight="0.5pt" color="#000000" joinstyle="miter"/>
            <v:imagedata o:title=""/>
            <o:lock v:ext="edit"/>
          </v:line>
        </w:pict>
      </w:r>
      <w:r>
        <w:rPr>
          <w:rFonts w:hint="eastAsia" w:asciiTheme="minorEastAsia" w:hAnsiTheme="minorEastAsia" w:eastAsiaTheme="minorEastAsia" w:cstheme="minorEastAsia"/>
          <w:sz w:val="28"/>
          <w:szCs w:val="28"/>
          <w:lang w:val="en-US"/>
        </w:rPr>
        <w:br w:type="page"/>
      </w:r>
    </w:p>
    <w:p>
      <w:pPr>
        <w:pStyle w:val="8"/>
        <w:spacing w:line="360" w:lineRule="auto"/>
        <w:ind w:left="0"/>
        <w:rPr>
          <w:rFonts w:asciiTheme="minorEastAsia" w:hAnsiTheme="minorEastAsia" w:eastAsiaTheme="minorEastAsia" w:cstheme="minorEastAsia"/>
          <w:b/>
          <w:bCs/>
          <w:sz w:val="28"/>
          <w:szCs w:val="28"/>
          <w:lang w:val="en-US"/>
        </w:rPr>
      </w:pPr>
      <w:r>
        <w:rPr>
          <w:rFonts w:hint="eastAsia" w:asciiTheme="minorEastAsia" w:hAnsiTheme="minorEastAsia" w:eastAsiaTheme="minorEastAsia" w:cstheme="minorEastAsia"/>
          <w:b/>
          <w:bCs/>
          <w:sz w:val="28"/>
          <w:szCs w:val="28"/>
          <w:lang w:val="en-US"/>
        </w:rPr>
        <w:t>3.1.2机构职责</w:t>
      </w:r>
    </w:p>
    <w:p>
      <w:pPr>
        <w:pStyle w:val="8"/>
        <w:spacing w:line="360" w:lineRule="auto"/>
        <w:ind w:left="0"/>
        <w:rPr>
          <w:rFonts w:asciiTheme="minorEastAsia" w:hAnsiTheme="minorEastAsia" w:eastAsiaTheme="minorEastAsia" w:cstheme="minorEastAsia"/>
          <w:b/>
          <w:bCs/>
          <w:sz w:val="28"/>
          <w:szCs w:val="28"/>
          <w:lang w:val="en-US"/>
        </w:rPr>
      </w:pPr>
      <w:r>
        <w:rPr>
          <w:rFonts w:hint="eastAsia" w:asciiTheme="minorEastAsia" w:hAnsiTheme="minorEastAsia" w:eastAsiaTheme="minorEastAsia" w:cstheme="minorEastAsia"/>
          <w:b/>
          <w:bCs/>
          <w:sz w:val="28"/>
          <w:szCs w:val="28"/>
          <w:lang w:val="en-US"/>
        </w:rPr>
        <w:t>3.1.2.1总指挥职责：</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1）宣布成立现场应急指挥部；</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2）发生水源地突发环境事件时，亲自或委托副指挥长赶赴现场进行指挥；</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3）组织开展现场应急处置；</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4）贯彻执行当地或上级人民政府及有关部门的应急指令；</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5）研判突发环境事件发展态势，组织制定并批准现场处置方案；</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6）按照预警、应急启动或终止条件，决定预案的启动或终止；</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7）组织开展损害评估等后期工作。</w:t>
      </w:r>
    </w:p>
    <w:p>
      <w:pPr>
        <w:pStyle w:val="8"/>
        <w:spacing w:line="360" w:lineRule="auto"/>
        <w:ind w:left="0"/>
        <w:rPr>
          <w:rFonts w:asciiTheme="minorEastAsia" w:hAnsiTheme="minorEastAsia" w:eastAsiaTheme="minorEastAsia" w:cstheme="minorEastAsia"/>
          <w:b/>
          <w:bCs/>
          <w:sz w:val="28"/>
          <w:szCs w:val="28"/>
          <w:lang w:val="en-US"/>
        </w:rPr>
      </w:pPr>
      <w:r>
        <w:rPr>
          <w:rFonts w:hint="eastAsia" w:asciiTheme="minorEastAsia" w:hAnsiTheme="minorEastAsia" w:eastAsiaTheme="minorEastAsia" w:cstheme="minorEastAsia"/>
          <w:b/>
          <w:bCs/>
          <w:sz w:val="28"/>
          <w:szCs w:val="28"/>
          <w:lang w:val="en-US"/>
        </w:rPr>
        <w:t>3.1.2.2副总指挥职责：</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1）协助指挥长组织开展现场应急处置；</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2）根据分工或指挥长安排，负责现场的具体指挥协调；</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3）负责提出有关应急处置建议；</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4）负责向场外人员通报有关应急信息；</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5）负责协调现场与场外应急处置工作；</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6）停止取水后，负责协调保障居民用水；</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7）处置现场出现的紧急情况。</w:t>
      </w:r>
    </w:p>
    <w:p>
      <w:pPr>
        <w:pStyle w:val="8"/>
        <w:spacing w:line="360" w:lineRule="auto"/>
        <w:ind w:left="0"/>
        <w:rPr>
          <w:rFonts w:asciiTheme="minorEastAsia" w:hAnsiTheme="minorEastAsia" w:eastAsiaTheme="minorEastAsia" w:cstheme="minorEastAsia"/>
          <w:b/>
          <w:bCs/>
          <w:sz w:val="28"/>
          <w:szCs w:val="28"/>
          <w:lang w:val="en-US"/>
        </w:rPr>
      </w:pPr>
      <w:r>
        <w:rPr>
          <w:rFonts w:hint="eastAsia" w:asciiTheme="minorEastAsia" w:hAnsiTheme="minorEastAsia" w:eastAsiaTheme="minorEastAsia" w:cstheme="minorEastAsia"/>
          <w:b/>
          <w:bCs/>
          <w:sz w:val="28"/>
          <w:szCs w:val="28"/>
          <w:lang w:val="en-US"/>
        </w:rPr>
        <w:t>3.1.2.3应急办公室职责：</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1）贯彻执行应急指挥部的指令和要求；</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2）负责信息汇总上报，并与有关的外部应急部门、组织和机构进行联络；</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3）负责调动应急人员、调配应急资源和联络外部应急组织或机构，组织和协调有关部门参与现场应急处置。</w:t>
      </w:r>
    </w:p>
    <w:p>
      <w:pPr>
        <w:pStyle w:val="8"/>
        <w:spacing w:line="360" w:lineRule="auto"/>
        <w:ind w:left="0"/>
        <w:rPr>
          <w:b/>
          <w:bCs/>
          <w:sz w:val="28"/>
          <w:szCs w:val="28"/>
          <w:lang w:val="en-US"/>
        </w:rPr>
      </w:pPr>
      <w:bookmarkStart w:id="48" w:name="_Toc6645"/>
      <w:r>
        <w:rPr>
          <w:rFonts w:hint="eastAsia"/>
          <w:b/>
          <w:bCs/>
          <w:sz w:val="28"/>
          <w:szCs w:val="28"/>
          <w:lang w:val="en-US"/>
        </w:rPr>
        <w:t>3.1.3现场应急工作组：</w:t>
      </w:r>
      <w:bookmarkEnd w:id="48"/>
    </w:p>
    <w:p>
      <w:pPr>
        <w:pStyle w:val="8"/>
        <w:spacing w:line="360" w:lineRule="auto"/>
        <w:ind w:left="0"/>
        <w:rPr>
          <w:b/>
          <w:bCs/>
          <w:sz w:val="28"/>
          <w:szCs w:val="28"/>
          <w:lang w:val="en-US"/>
        </w:rPr>
      </w:pPr>
      <w:r>
        <w:rPr>
          <w:rFonts w:hint="eastAsia"/>
          <w:b/>
          <w:bCs/>
          <w:sz w:val="28"/>
          <w:szCs w:val="28"/>
          <w:lang w:val="en-US"/>
        </w:rPr>
        <w:t>3.1.3.1 现场处置组：</w:t>
      </w:r>
    </w:p>
    <w:p>
      <w:pPr>
        <w:pStyle w:val="8"/>
        <w:spacing w:line="360" w:lineRule="auto"/>
        <w:ind w:left="0" w:firstLine="560" w:firstLineChars="200"/>
        <w:rPr>
          <w:sz w:val="28"/>
          <w:szCs w:val="28"/>
          <w:lang w:val="en-US"/>
        </w:rPr>
      </w:pPr>
      <w:r>
        <w:rPr>
          <w:rFonts w:hint="eastAsia"/>
          <w:sz w:val="28"/>
          <w:szCs w:val="28"/>
          <w:lang w:val="en-US"/>
        </w:rPr>
        <w:t>1）负责组织制定应急处置方案；负责现场污染物消除、围堵和削减，以及污染物收集、转运和异地处置等工作。</w:t>
      </w:r>
    </w:p>
    <w:p>
      <w:pPr>
        <w:pStyle w:val="8"/>
        <w:spacing w:line="360" w:lineRule="auto"/>
        <w:ind w:left="0" w:firstLine="560" w:firstLineChars="200"/>
        <w:rPr>
          <w:sz w:val="28"/>
          <w:szCs w:val="28"/>
          <w:lang w:val="en-US"/>
        </w:rPr>
      </w:pPr>
      <w:r>
        <w:rPr>
          <w:rFonts w:hint="eastAsia"/>
          <w:sz w:val="28"/>
          <w:szCs w:val="28"/>
          <w:lang w:val="en-US"/>
        </w:rPr>
        <w:t>2）封锁现场，实施交通管制；监控事件责任人员；加强受影响人群临时饮用水供应；加强重要生活必需品等商品市场监管和 调控；加强社会治安管理，防止发生群体性事件；</w:t>
      </w:r>
    </w:p>
    <w:p>
      <w:pPr>
        <w:pStyle w:val="8"/>
        <w:spacing w:line="360" w:lineRule="auto"/>
        <w:ind w:left="0" w:firstLine="560" w:firstLineChars="200"/>
        <w:rPr>
          <w:sz w:val="28"/>
          <w:szCs w:val="28"/>
          <w:lang w:val="en-US"/>
        </w:rPr>
      </w:pPr>
      <w:r>
        <w:rPr>
          <w:rFonts w:hint="eastAsia"/>
          <w:sz w:val="28"/>
          <w:szCs w:val="28"/>
          <w:lang w:val="en-US"/>
        </w:rPr>
        <w:t>3）组织开展伤病员医疗救治、应急心理援助；指导和协助开展 受污染人员的去污洗消工作；对现场进行消毒防疫，防范因环境 突发事件造成中毒事件等。</w:t>
      </w:r>
    </w:p>
    <w:p>
      <w:pPr>
        <w:pStyle w:val="8"/>
        <w:spacing w:line="360" w:lineRule="auto"/>
        <w:ind w:left="0"/>
        <w:rPr>
          <w:b/>
          <w:bCs/>
          <w:sz w:val="28"/>
          <w:szCs w:val="28"/>
          <w:lang w:val="en-US"/>
        </w:rPr>
      </w:pPr>
      <w:r>
        <w:rPr>
          <w:rFonts w:hint="eastAsia"/>
          <w:b/>
          <w:bCs/>
          <w:sz w:val="28"/>
          <w:szCs w:val="28"/>
          <w:lang w:val="en-US"/>
        </w:rPr>
        <w:t>3.1.3.2综合协调组：</w:t>
      </w:r>
    </w:p>
    <w:p>
      <w:pPr>
        <w:pStyle w:val="8"/>
        <w:spacing w:line="360" w:lineRule="auto"/>
        <w:ind w:left="0" w:firstLine="560" w:firstLineChars="200"/>
        <w:rPr>
          <w:sz w:val="28"/>
          <w:szCs w:val="28"/>
          <w:lang w:val="en-US"/>
        </w:rPr>
      </w:pPr>
      <w:r>
        <w:rPr>
          <w:rFonts w:hint="eastAsia"/>
          <w:sz w:val="28"/>
          <w:szCs w:val="28"/>
          <w:lang w:val="en-US"/>
        </w:rPr>
        <w:t>1）制定人员疏散方案，并组织实施，做好受影响人员转移疏散和临时安置。</w:t>
      </w:r>
    </w:p>
    <w:p>
      <w:pPr>
        <w:pStyle w:val="8"/>
        <w:spacing w:line="360" w:lineRule="auto"/>
        <w:ind w:left="0" w:firstLine="560" w:firstLineChars="200"/>
        <w:rPr>
          <w:sz w:val="28"/>
          <w:szCs w:val="28"/>
          <w:lang w:val="en-US"/>
        </w:rPr>
      </w:pPr>
      <w:r>
        <w:rPr>
          <w:rFonts w:hint="eastAsia"/>
          <w:sz w:val="28"/>
          <w:szCs w:val="28"/>
          <w:lang w:val="en-US"/>
        </w:rPr>
        <w:t>2）负责制定应急供水保障方案；负责指导供水单位启动深度处 理设施或备用水源以及应急供水车等措施，保障居民用水。</w:t>
      </w:r>
    </w:p>
    <w:p>
      <w:pPr>
        <w:pStyle w:val="8"/>
        <w:spacing w:line="360" w:lineRule="auto"/>
        <w:ind w:left="0" w:firstLine="560" w:firstLineChars="200"/>
        <w:rPr>
          <w:sz w:val="28"/>
          <w:szCs w:val="28"/>
          <w:lang w:val="en-US"/>
        </w:rPr>
      </w:pPr>
      <w:r>
        <w:rPr>
          <w:rFonts w:hint="eastAsia"/>
          <w:sz w:val="28"/>
          <w:szCs w:val="28"/>
          <w:lang w:val="en-US"/>
        </w:rPr>
        <w:t>3）统一组织开展事件进展、应急工作情况信息发布，开展新闻 宣传报道；收集舆情和社会公众动态，加强媒体和互联网管理；</w:t>
      </w:r>
    </w:p>
    <w:p>
      <w:pPr>
        <w:pStyle w:val="8"/>
        <w:spacing w:line="360" w:lineRule="auto"/>
        <w:ind w:left="0" w:firstLine="560" w:firstLineChars="200"/>
        <w:rPr>
          <w:sz w:val="28"/>
          <w:szCs w:val="28"/>
          <w:lang w:val="en-US"/>
        </w:rPr>
      </w:pPr>
      <w:r>
        <w:rPr>
          <w:rFonts w:hint="eastAsia"/>
          <w:sz w:val="28"/>
          <w:szCs w:val="28"/>
          <w:lang w:val="en-US"/>
        </w:rPr>
        <w:t>4）协调污染损害赔付及灾民安抚工作。</w:t>
      </w:r>
    </w:p>
    <w:p>
      <w:pPr>
        <w:pStyle w:val="8"/>
        <w:spacing w:line="360" w:lineRule="auto"/>
        <w:ind w:left="0"/>
        <w:rPr>
          <w:b/>
          <w:bCs/>
          <w:sz w:val="28"/>
          <w:szCs w:val="28"/>
          <w:lang w:val="en-US"/>
        </w:rPr>
      </w:pPr>
      <w:r>
        <w:rPr>
          <w:rFonts w:hint="eastAsia"/>
          <w:b/>
          <w:bCs/>
          <w:sz w:val="28"/>
          <w:szCs w:val="28"/>
          <w:lang w:val="en-US"/>
        </w:rPr>
        <w:t>3.1.3.3应急保障组：</w:t>
      </w:r>
    </w:p>
    <w:p>
      <w:pPr>
        <w:pStyle w:val="8"/>
        <w:spacing w:line="360" w:lineRule="auto"/>
        <w:ind w:left="0" w:firstLine="560" w:firstLineChars="200"/>
        <w:rPr>
          <w:sz w:val="28"/>
          <w:szCs w:val="28"/>
          <w:lang w:val="en-US"/>
        </w:rPr>
      </w:pPr>
      <w:r>
        <w:rPr>
          <w:rFonts w:hint="eastAsia"/>
          <w:sz w:val="28"/>
          <w:szCs w:val="28"/>
          <w:lang w:val="en-US"/>
        </w:rPr>
        <w:t>1）负责制定应急物资保障方案；负责调配应急物资、协调运输车辆；</w:t>
      </w:r>
    </w:p>
    <w:p>
      <w:pPr>
        <w:pStyle w:val="8"/>
        <w:spacing w:line="360" w:lineRule="auto"/>
        <w:ind w:left="0" w:firstLine="560" w:firstLineChars="200"/>
        <w:rPr>
          <w:sz w:val="28"/>
          <w:szCs w:val="28"/>
          <w:lang w:val="en-US"/>
        </w:rPr>
      </w:pPr>
      <w:r>
        <w:rPr>
          <w:rFonts w:hint="eastAsia"/>
          <w:sz w:val="28"/>
          <w:szCs w:val="28"/>
          <w:lang w:val="en-US"/>
        </w:rPr>
        <w:t>2）负责协调补偿征用物资、应急救援和污染物处置等费用。调查引发饮用水源突发污染事件的原因、财产损失和人员伤亡等情况。</w:t>
      </w:r>
    </w:p>
    <w:p>
      <w:pPr>
        <w:pStyle w:val="8"/>
        <w:spacing w:line="360" w:lineRule="auto"/>
        <w:ind w:left="0"/>
        <w:rPr>
          <w:b/>
          <w:bCs/>
          <w:sz w:val="28"/>
          <w:szCs w:val="28"/>
          <w:lang w:val="en-US"/>
        </w:rPr>
      </w:pPr>
      <w:r>
        <w:rPr>
          <w:rFonts w:hint="eastAsia"/>
          <w:b/>
          <w:bCs/>
          <w:sz w:val="28"/>
          <w:szCs w:val="28"/>
          <w:lang w:val="en-US"/>
        </w:rPr>
        <w:t>3.1.3.4应急监测组：</w:t>
      </w:r>
    </w:p>
    <w:p>
      <w:pPr>
        <w:pStyle w:val="8"/>
        <w:spacing w:line="360" w:lineRule="auto"/>
        <w:ind w:left="0" w:firstLine="560" w:firstLineChars="200"/>
        <w:rPr>
          <w:sz w:val="28"/>
          <w:szCs w:val="28"/>
          <w:lang w:val="en-US"/>
        </w:rPr>
      </w:pPr>
      <w:r>
        <w:rPr>
          <w:rFonts w:hint="eastAsia"/>
          <w:sz w:val="28"/>
          <w:szCs w:val="28"/>
          <w:lang w:val="en-US"/>
        </w:rPr>
        <w:t>负责制定应急监测方案；负责在污染带上游、下游分别设置断面进行应急监测；负责应急期间的水源地、供水单位和管网末梢水的水质监测；</w:t>
      </w:r>
    </w:p>
    <w:p>
      <w:pPr>
        <w:pStyle w:val="8"/>
        <w:spacing w:line="360" w:lineRule="auto"/>
        <w:ind w:left="0"/>
        <w:outlineLvl w:val="1"/>
        <w:rPr>
          <w:rFonts w:asciiTheme="minorEastAsia" w:hAnsiTheme="minorEastAsia" w:eastAsiaTheme="minorEastAsia" w:cstheme="minorEastAsia"/>
          <w:b/>
          <w:bCs/>
          <w:sz w:val="28"/>
          <w:szCs w:val="28"/>
          <w:lang w:val="en-US"/>
        </w:rPr>
      </w:pPr>
      <w:bookmarkStart w:id="49" w:name="_Toc4391"/>
      <w:r>
        <w:rPr>
          <w:rFonts w:hint="eastAsia" w:asciiTheme="minorEastAsia" w:hAnsiTheme="minorEastAsia" w:eastAsiaTheme="minorEastAsia" w:cstheme="minorEastAsia"/>
          <w:b/>
          <w:bCs/>
          <w:sz w:val="28"/>
          <w:szCs w:val="28"/>
          <w:lang w:val="en-US"/>
        </w:rPr>
        <w:t>3.2各部门常态职责：</w:t>
      </w:r>
      <w:bookmarkEnd w:id="49"/>
    </w:p>
    <w:p>
      <w:pPr>
        <w:pStyle w:val="8"/>
        <w:spacing w:line="360" w:lineRule="auto"/>
        <w:ind w:left="0" w:firstLine="562"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b/>
          <w:bCs/>
          <w:sz w:val="28"/>
          <w:szCs w:val="28"/>
          <w:lang w:val="en-US"/>
        </w:rPr>
        <w:t>农业服务中心：</w:t>
      </w:r>
      <w:r>
        <w:rPr>
          <w:rFonts w:hint="eastAsia" w:asciiTheme="minorEastAsia" w:hAnsiTheme="minorEastAsia" w:eastAsiaTheme="minorEastAsia" w:cstheme="minorEastAsia"/>
          <w:sz w:val="28"/>
          <w:szCs w:val="28"/>
          <w:lang w:val="en-US"/>
        </w:rPr>
        <w:t>承担扶贫开发、三峡后续工作以及农技、农机、林业、水产、畜牧兽医等方面的技术推广、信息服务、灾害防治以及农产品质量安全等职责。</w:t>
      </w:r>
    </w:p>
    <w:p>
      <w:pPr>
        <w:pStyle w:val="8"/>
        <w:spacing w:line="360" w:lineRule="auto"/>
        <w:ind w:left="0" w:firstLine="562"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b/>
          <w:bCs/>
          <w:sz w:val="28"/>
          <w:szCs w:val="28"/>
          <w:lang w:val="en-US"/>
        </w:rPr>
        <w:t>文化服务中心：</w:t>
      </w:r>
      <w:r>
        <w:rPr>
          <w:rFonts w:hint="eastAsia" w:asciiTheme="minorEastAsia" w:hAnsiTheme="minorEastAsia" w:eastAsiaTheme="minorEastAsia" w:cstheme="minorEastAsia"/>
          <w:sz w:val="28"/>
          <w:szCs w:val="28"/>
          <w:lang w:val="en-US"/>
        </w:rPr>
        <w:t>负责文化、广播电视、体育、科技培训等职责。</w:t>
      </w:r>
    </w:p>
    <w:p>
      <w:pPr>
        <w:pStyle w:val="8"/>
        <w:spacing w:line="360" w:lineRule="auto"/>
        <w:ind w:left="0" w:firstLine="562"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b/>
          <w:bCs/>
          <w:sz w:val="28"/>
          <w:szCs w:val="28"/>
          <w:lang w:val="en-US"/>
        </w:rPr>
        <w:t>劳动就业和社会保障服务所：</w:t>
      </w:r>
      <w:r>
        <w:rPr>
          <w:rFonts w:hint="eastAsia" w:asciiTheme="minorEastAsia" w:hAnsiTheme="minorEastAsia" w:eastAsiaTheme="minorEastAsia" w:cstheme="minorEastAsia"/>
          <w:sz w:val="28"/>
          <w:szCs w:val="28"/>
          <w:lang w:val="en-US"/>
        </w:rPr>
        <w:t>负责劳动和社会保障、就业等服务职责。</w:t>
      </w:r>
    </w:p>
    <w:p>
      <w:pPr>
        <w:pStyle w:val="8"/>
        <w:spacing w:line="360" w:lineRule="auto"/>
        <w:ind w:left="0" w:firstLine="562"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b/>
          <w:bCs/>
          <w:sz w:val="28"/>
          <w:szCs w:val="28"/>
          <w:lang w:val="en-US"/>
        </w:rPr>
        <w:t>退役军人服务站：</w:t>
      </w:r>
      <w:r>
        <w:rPr>
          <w:rFonts w:hint="eastAsia" w:asciiTheme="minorEastAsia" w:hAnsiTheme="minorEastAsia" w:eastAsiaTheme="minorEastAsia" w:cstheme="minorEastAsia"/>
          <w:sz w:val="28"/>
          <w:szCs w:val="28"/>
          <w:lang w:val="en-US"/>
        </w:rPr>
        <w:t>负责宣传相关政策和法律法规,承担退役军人来访接待、慰问帮扶、指导就业创业等职责。</w:t>
      </w:r>
    </w:p>
    <w:p>
      <w:pPr>
        <w:pStyle w:val="8"/>
        <w:spacing w:line="360" w:lineRule="auto"/>
        <w:ind w:left="0" w:firstLine="562"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b/>
          <w:bCs/>
          <w:sz w:val="28"/>
          <w:szCs w:val="28"/>
          <w:lang w:val="en-US"/>
        </w:rPr>
        <w:t>综合行政执法大队：</w:t>
      </w:r>
      <w:r>
        <w:rPr>
          <w:rFonts w:hint="eastAsia" w:asciiTheme="minorEastAsia" w:hAnsiTheme="minorEastAsia" w:eastAsiaTheme="minorEastAsia" w:cstheme="minorEastAsia"/>
          <w:sz w:val="28"/>
          <w:szCs w:val="28"/>
          <w:lang w:val="en-US"/>
        </w:rPr>
        <w:t>与综合行政执法办公室实行统筹运行的机制，承担应履行的所有行政执法职责。</w:t>
      </w:r>
    </w:p>
    <w:p>
      <w:pPr>
        <w:pStyle w:val="8"/>
        <w:spacing w:line="360" w:lineRule="auto"/>
        <w:ind w:left="0" w:firstLine="562"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b/>
          <w:bCs/>
          <w:sz w:val="28"/>
          <w:szCs w:val="28"/>
          <w:lang w:val="en-US"/>
        </w:rPr>
        <w:t>人居环境服务中心：</w:t>
      </w:r>
      <w:r>
        <w:rPr>
          <w:rFonts w:hint="eastAsia" w:asciiTheme="minorEastAsia" w:hAnsiTheme="minorEastAsia" w:eastAsiaTheme="minorEastAsia" w:cstheme="minorEastAsia"/>
          <w:sz w:val="28"/>
          <w:szCs w:val="28"/>
          <w:lang w:val="en-US"/>
        </w:rPr>
        <w:t>负责人居环境综合整治、清洁保洁、生活垃圾污水治理、厕所革命、村容村貌提升和绿化美化等职责。</w:t>
      </w:r>
    </w:p>
    <w:p>
      <w:pPr>
        <w:pStyle w:val="8"/>
        <w:spacing w:line="360" w:lineRule="auto"/>
        <w:ind w:left="0" w:firstLine="562"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b/>
          <w:bCs/>
          <w:sz w:val="28"/>
          <w:szCs w:val="28"/>
          <w:lang w:val="en-US"/>
        </w:rPr>
        <w:t>水利服务中心：</w:t>
      </w:r>
      <w:r>
        <w:rPr>
          <w:rFonts w:hint="eastAsia" w:asciiTheme="minorEastAsia" w:hAnsiTheme="minorEastAsia" w:eastAsiaTheme="minorEastAsia" w:cstheme="minorEastAsia"/>
          <w:sz w:val="28"/>
          <w:szCs w:val="28"/>
          <w:lang w:val="en-US"/>
        </w:rPr>
        <w:t>负责水资源的保护与管理，按权限承担水利工程的日常运行管理工作。</w:t>
      </w:r>
    </w:p>
    <w:p>
      <w:pPr>
        <w:pStyle w:val="8"/>
        <w:spacing w:line="360" w:lineRule="auto"/>
        <w:ind w:left="0"/>
        <w:outlineLvl w:val="0"/>
        <w:rPr>
          <w:rFonts w:asciiTheme="minorEastAsia" w:hAnsiTheme="minorEastAsia" w:eastAsiaTheme="minorEastAsia" w:cstheme="minorEastAsia"/>
          <w:b/>
          <w:bCs/>
        </w:rPr>
      </w:pPr>
      <w:bookmarkStart w:id="50" w:name="_Toc29735"/>
      <w:r>
        <w:rPr>
          <w:rFonts w:hint="eastAsia" w:asciiTheme="minorEastAsia" w:hAnsiTheme="minorEastAsia" w:eastAsiaTheme="minorEastAsia" w:cstheme="minorEastAsia"/>
          <w:b/>
          <w:bCs/>
          <w:lang w:val="en-US"/>
        </w:rPr>
        <w:t>4应急响</w:t>
      </w:r>
      <w:r>
        <w:rPr>
          <w:rFonts w:hint="eastAsia" w:asciiTheme="minorEastAsia" w:hAnsiTheme="minorEastAsia" w:eastAsiaTheme="minorEastAsia" w:cstheme="minorEastAsia"/>
          <w:b/>
          <w:bCs/>
        </w:rPr>
        <w:t>应</w:t>
      </w:r>
      <w:bookmarkEnd w:id="50"/>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开州区满月镇饮用水水源地突发环境事件应急响应程序包括信息收集和研判、预警、信息报告与通报、事态研判、应急监测、污染源排查与处置、应急处置、物资调集及应急设施启用、舆情监测与信息发布、响应终止等工作内容。</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应急响应流程图见图 4-1。</w:t>
      </w:r>
    </w:p>
    <w:p>
      <w:pPr>
        <w:pStyle w:val="8"/>
        <w:spacing w:line="360" w:lineRule="auto"/>
        <w:ind w:left="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bidi="ar-SA"/>
        </w:rPr>
        <w:drawing>
          <wp:inline distT="0" distB="0" distL="114300" distR="114300">
            <wp:extent cx="5081905" cy="5481320"/>
            <wp:effectExtent l="0" t="0" r="4445" b="508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17"/>
                    <a:stretch>
                      <a:fillRect/>
                    </a:stretch>
                  </pic:blipFill>
                  <pic:spPr>
                    <a:xfrm>
                      <a:off x="0" y="0"/>
                      <a:ext cx="5081905" cy="5481320"/>
                    </a:xfrm>
                    <a:prstGeom prst="rect">
                      <a:avLst/>
                    </a:prstGeom>
                    <a:noFill/>
                    <a:ln>
                      <a:noFill/>
                    </a:ln>
                  </pic:spPr>
                </pic:pic>
              </a:graphicData>
            </a:graphic>
          </wp:inline>
        </w:drawing>
      </w:r>
    </w:p>
    <w:p>
      <w:pPr>
        <w:pStyle w:val="8"/>
        <w:spacing w:line="360" w:lineRule="auto"/>
        <w:ind w:left="0"/>
        <w:rPr>
          <w:rFonts w:asciiTheme="minorEastAsia" w:hAnsiTheme="minorEastAsia" w:eastAsiaTheme="minorEastAsia" w:cstheme="minorEastAsia"/>
          <w:sz w:val="28"/>
          <w:szCs w:val="28"/>
          <w:lang w:val="en-US"/>
        </w:rPr>
      </w:pPr>
      <w:r>
        <w:rPr>
          <w:rFonts w:asciiTheme="minorEastAsia" w:hAnsiTheme="minorEastAsia" w:eastAsiaTheme="minorEastAsia" w:cstheme="minorEastAsia"/>
          <w:sz w:val="28"/>
          <w:szCs w:val="28"/>
        </w:rPr>
        <w:pict>
          <v:rect id="_x0000_s2051" o:spid="_x0000_s2051" o:spt="1" style="position:absolute;left:0pt;margin-left:90.45pt;margin-top:4.2pt;height:42.25pt;width:278.85pt;z-index:251657216;v-text-anchor:middle;mso-width-relative:page;mso-height-relative:page;" stroked="f" coordsize="21600,21600" o:gfxdata="UEsDBAoAAAAAAIdO4kAAAAAAAAAAAAAAAAAEAAAAZHJzL1BLAwQUAAAACACHTuJABTK0iNgAAAAI&#10;AQAADwAAAGRycy9kb3ducmV2LnhtbE2PP0/DMBTEdyS+g/WQ2KjdFtokxOlQiSEDErQMjG78SELi&#10;58h2/vTbYyYYT3e6+11+WEzPJnS+tSRhvRLAkCqrW6olfJxfHhJgPijSqreEEq7o4VDc3uQq03am&#10;d5xOoWaxhHymJDQhDBnnvmrQKL+yA1L0vqwzKkTpaq6dmmO56flGiB03qqW40KgBjw1W3Wk0Erqy&#10;NOPyVE3l2+v+e+vma3f+PEp5f7cWz8ACLuEvDL/4ER2KyHSxI2nP+qgTkcaohOQRWPT322QH7CIh&#10;3aTAi5z/P1D8AFBLAwQUAAAACACHTuJAeZL9z4YCAADwBAAADgAAAGRycy9lMm9Eb2MueG1srVTN&#10;bhMxEL4j8Q6W73STNNs0UTdV1CgIqaKRCuLseL1ZS/7Ddn7KyyBx4yF4HMRr8Nm7/aFw6IE9eGc8&#10;428838z44vKoFdkLH6Q1FR2eDCgRhttamm1FP35YvTmnJERmaqasERW9E4Fezl+/uji4mRjZ1qpa&#10;eAIQE2YHV9E2RjcrisBboVk4sU4YGBvrNYtQ/baoPTsAXatiNBicFQfra+ctFyFgd9kZaY/oXwJo&#10;m0ZysbR8p4WJHaoXikWkFFrpAp3n2zaN4PGmaYKIRFUUmca8IgjkTVqL+QWbbT1zreT9FdhLrvAs&#10;J82kQdAHqCWLjOy8/AtKS+5tsE084VYXXSKZEWQxHDzj5rZlTuRcQHVwD6SH/wfL3+/Xnsi6oiUl&#10;hmkU/NfX7z9/fCNl4ubgwgwut27tey1ATIkeG6/THymQY0VHw7I8HwHjrqLn08nZdJrPs5k4RsLh&#10;cFqOh6fYJBwe5elZOckOxSOS8yG+FVaTJFTUo3aZUra/DhHR4XrvkgIHq2S9kkplxW83V8qTPUOd&#10;V/lL18eRP9yUIQf0/GgyQP05Q/c26BqI2oGBYLaUMLXFWPDoc2xjUwQgdbGXLLRdjAzbdY+WEQOh&#10;pEbmg/T1kZVJx0Ruwj6DRGdHYJLicXPsWd3Y+g518LZr0OD4SoKFaxbimnl0JO6LmY03WBplkYTt&#10;JUpa67/8az/5o1FgpeSADkeCn3fMC0rUO4MWmg7H4zQSWRmXkxEU/9SyeWoxO31lQe4Qr4PjWUz+&#10;Ud2Ljbf6E0Z7kaLCxAxH7I7KXrmK3eThceBischuGAPH4rW5dTyBJ8qMXeyibWQueiKqYwflTAoG&#10;IRe2H9o0aU/17PX4UM1/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AUytIjYAAAACAEAAA8AAAAA&#10;AAAAAQAgAAAAIgAAAGRycy9kb3ducmV2LnhtbFBLAQIUABQAAAAIAIdO4kB5kv3PhgIAAPAEAAAO&#10;AAAAAAAAAAEAIAAAACcBAABkcnMvZTJvRG9jLnhtbFBLBQYAAAAABgAGAFkBAAAfBgAAAAA=&#10;">
            <v:path/>
            <v:fill focussize="0,0"/>
            <v:stroke on="f" weight="1pt"/>
            <v:imagedata o:title=""/>
            <o:lock v:ext="edit"/>
            <v:textbox>
              <w:txbxContent>
                <w:p>
                  <w:pPr>
                    <w:jc w:val="center"/>
                    <w:rPr>
                      <w:rFonts w:ascii="宋体" w:hAnsi="宋体" w:cs="宋体"/>
                      <w:b/>
                      <w:bCs/>
                      <w:sz w:val="28"/>
                      <w:szCs w:val="28"/>
                    </w:rPr>
                  </w:pPr>
                  <w:r>
                    <w:rPr>
                      <w:rFonts w:hint="eastAsia" w:ascii="宋体" w:hAnsi="宋体" w:cs="宋体"/>
                      <w:b/>
                      <w:bCs/>
                      <w:spacing w:val="-5"/>
                      <w:w w:val="95"/>
                      <w:sz w:val="28"/>
                      <w:szCs w:val="28"/>
                    </w:rPr>
                    <w:t xml:space="preserve">图 </w:t>
                  </w:r>
                  <w:r>
                    <w:rPr>
                      <w:rFonts w:hint="eastAsia" w:ascii="宋体" w:hAnsi="宋体" w:cs="宋体"/>
                      <w:b/>
                      <w:bCs/>
                      <w:spacing w:val="-3"/>
                      <w:sz w:val="28"/>
                      <w:szCs w:val="28"/>
                    </w:rPr>
                    <w:t>4-1</w:t>
                  </w:r>
                  <w:r>
                    <w:rPr>
                      <w:rFonts w:hint="eastAsia" w:ascii="宋体" w:hAnsi="宋体" w:cs="宋体"/>
                      <w:b/>
                      <w:bCs/>
                      <w:spacing w:val="-5"/>
                      <w:w w:val="95"/>
                      <w:sz w:val="28"/>
                      <w:szCs w:val="28"/>
                    </w:rPr>
                    <w:t>应急响应流程图</w:t>
                  </w:r>
                </w:p>
              </w:txbxContent>
            </v:textbox>
          </v:rect>
        </w:pict>
      </w:r>
    </w:p>
    <w:p>
      <w:pPr>
        <w:pStyle w:val="8"/>
        <w:spacing w:line="360" w:lineRule="auto"/>
        <w:ind w:left="0"/>
        <w:rPr>
          <w:rFonts w:asciiTheme="minorEastAsia" w:hAnsiTheme="minorEastAsia" w:eastAsiaTheme="minorEastAsia" w:cstheme="minorEastAsia"/>
          <w:sz w:val="28"/>
          <w:szCs w:val="28"/>
          <w:lang w:val="en-US"/>
        </w:rPr>
      </w:pPr>
    </w:p>
    <w:p>
      <w:pPr>
        <w:pStyle w:val="8"/>
        <w:spacing w:line="360" w:lineRule="auto"/>
        <w:ind w:left="0"/>
        <w:outlineLvl w:val="1"/>
        <w:rPr>
          <w:rFonts w:asciiTheme="minorEastAsia" w:hAnsiTheme="minorEastAsia" w:eastAsiaTheme="minorEastAsia" w:cstheme="minorEastAsia"/>
          <w:b/>
          <w:bCs/>
          <w:sz w:val="28"/>
          <w:szCs w:val="28"/>
          <w:lang w:val="en-US"/>
        </w:rPr>
      </w:pPr>
      <w:bookmarkStart w:id="51" w:name="_Toc7181"/>
      <w:r>
        <w:rPr>
          <w:rFonts w:hint="eastAsia" w:asciiTheme="minorEastAsia" w:hAnsiTheme="minorEastAsia" w:eastAsiaTheme="minorEastAsia" w:cstheme="minorEastAsia"/>
          <w:b/>
          <w:bCs/>
          <w:sz w:val="28"/>
          <w:szCs w:val="28"/>
          <w:lang w:val="en-US"/>
        </w:rPr>
        <w:t>4.1预警</w:t>
      </w:r>
      <w:bookmarkEnd w:id="51"/>
    </w:p>
    <w:p>
      <w:pPr>
        <w:pStyle w:val="8"/>
        <w:spacing w:line="360" w:lineRule="auto"/>
        <w:ind w:left="0"/>
        <w:rPr>
          <w:rFonts w:asciiTheme="minorEastAsia" w:hAnsiTheme="minorEastAsia" w:eastAsiaTheme="minorEastAsia" w:cstheme="minorEastAsia"/>
          <w:b/>
          <w:bCs/>
          <w:sz w:val="28"/>
          <w:szCs w:val="28"/>
          <w:lang w:val="en-US"/>
        </w:rPr>
      </w:pPr>
      <w:r>
        <w:rPr>
          <w:rFonts w:hint="eastAsia" w:asciiTheme="minorEastAsia" w:hAnsiTheme="minorEastAsia" w:eastAsiaTheme="minorEastAsia" w:cstheme="minorEastAsia"/>
          <w:b/>
          <w:bCs/>
          <w:sz w:val="28"/>
          <w:szCs w:val="28"/>
          <w:lang w:val="en-US"/>
        </w:rPr>
        <w:t>4.1.1预警分级</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根据开州区满月镇饮用水水源地实际情况，水源地突发环境事件的预警级别由低到高分为橙色和红色两级。</w:t>
      </w:r>
    </w:p>
    <w:p>
      <w:pPr>
        <w:pStyle w:val="8"/>
        <w:spacing w:line="360" w:lineRule="auto"/>
        <w:ind w:left="0" w:firstLine="562"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b/>
          <w:bCs/>
          <w:sz w:val="28"/>
          <w:szCs w:val="28"/>
          <w:lang w:val="en-US"/>
        </w:rPr>
        <w:t>橙色预警：</w:t>
      </w:r>
      <w:r>
        <w:rPr>
          <w:rFonts w:hint="eastAsia" w:asciiTheme="minorEastAsia" w:hAnsiTheme="minorEastAsia" w:eastAsiaTheme="minorEastAsia" w:cstheme="minorEastAsia"/>
          <w:sz w:val="28"/>
          <w:szCs w:val="28"/>
          <w:lang w:val="en-US"/>
        </w:rPr>
        <w:t>当污染物迁移至水源地应急预案适用范围，但水源地保护区或其上游连接水体尚未受到污染，或是污染物已进入水源保护区上游连接水体，应急指挥部办公室研判认为对水源地水质影响可能较小、可能不影响取水时，为橙色预警。</w:t>
      </w:r>
    </w:p>
    <w:p>
      <w:pPr>
        <w:pStyle w:val="8"/>
        <w:spacing w:line="360" w:lineRule="auto"/>
        <w:ind w:left="0" w:firstLine="562"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b/>
          <w:bCs/>
          <w:sz w:val="28"/>
          <w:szCs w:val="28"/>
          <w:lang w:val="en-US"/>
        </w:rPr>
        <w:t>红色预警：</w:t>
      </w:r>
      <w:r>
        <w:rPr>
          <w:rFonts w:hint="eastAsia" w:asciiTheme="minorEastAsia" w:hAnsiTheme="minorEastAsia" w:eastAsiaTheme="minorEastAsia" w:cstheme="minorEastAsia"/>
          <w:sz w:val="28"/>
          <w:szCs w:val="28"/>
          <w:lang w:val="en-US"/>
        </w:rPr>
        <w:t>当污染物已进入（或出现在）水源地保护区或其上游连接水体，且应急专家研判认为对水源地水质影响可能较大时、可能影响取水时，为红色预警。</w:t>
      </w:r>
    </w:p>
    <w:p>
      <w:pPr>
        <w:pStyle w:val="8"/>
        <w:spacing w:line="360" w:lineRule="auto"/>
        <w:ind w:left="0"/>
        <w:rPr>
          <w:rFonts w:asciiTheme="minorEastAsia" w:hAnsiTheme="minorEastAsia" w:eastAsiaTheme="minorEastAsia" w:cstheme="minorEastAsia"/>
          <w:b/>
          <w:bCs/>
          <w:sz w:val="28"/>
          <w:szCs w:val="28"/>
          <w:lang w:val="en-US"/>
        </w:rPr>
      </w:pPr>
      <w:r>
        <w:rPr>
          <w:rFonts w:hint="eastAsia" w:asciiTheme="minorEastAsia" w:hAnsiTheme="minorEastAsia" w:eastAsiaTheme="minorEastAsia" w:cstheme="minorEastAsia"/>
          <w:b/>
          <w:bCs/>
          <w:sz w:val="28"/>
          <w:szCs w:val="28"/>
          <w:lang w:val="en-US"/>
        </w:rPr>
        <w:t>4.1.2预警条件</w:t>
      </w:r>
    </w:p>
    <w:p>
      <w:pPr>
        <w:pStyle w:val="8"/>
        <w:spacing w:line="360" w:lineRule="auto"/>
        <w:ind w:left="0"/>
        <w:rPr>
          <w:rFonts w:asciiTheme="minorEastAsia" w:hAnsiTheme="minorEastAsia" w:eastAsiaTheme="minorEastAsia" w:cstheme="minorEastAsia"/>
          <w:b/>
          <w:bCs/>
          <w:sz w:val="28"/>
          <w:szCs w:val="28"/>
          <w:lang w:val="en-US"/>
        </w:rPr>
      </w:pPr>
      <w:r>
        <w:rPr>
          <w:rFonts w:hint="eastAsia" w:asciiTheme="minorEastAsia" w:hAnsiTheme="minorEastAsia" w:eastAsiaTheme="minorEastAsia" w:cstheme="minorEastAsia"/>
          <w:b/>
          <w:bCs/>
          <w:sz w:val="28"/>
          <w:szCs w:val="28"/>
          <w:lang w:val="en-US"/>
        </w:rPr>
        <w:t>4.1.2.1橙色预警启动条件</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1）接到区生态环境局指令或信息通报后，虽污染物未迁移至水源地应急预案适用范围，但污染物已进入水源保护区上游连接水体，经研判认为对水源地水质可能造成污染，不影响取水；</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2）在满月镇辖区内，通过信息报告发现，污染物已扩散至距水源保护区上游连接水体的直线距离不足 1km 的陆域或水域；</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3）在满月镇辖区内，污染物已进入水源保护区上游连接水体，经研判认为对水源地水质影响可能较小、可能不影响取水。</w:t>
      </w:r>
    </w:p>
    <w:p>
      <w:pPr>
        <w:pStyle w:val="8"/>
        <w:spacing w:line="360" w:lineRule="auto"/>
        <w:ind w:left="0"/>
        <w:rPr>
          <w:rFonts w:asciiTheme="minorEastAsia" w:hAnsiTheme="minorEastAsia" w:eastAsiaTheme="minorEastAsia" w:cstheme="minorEastAsia"/>
          <w:b/>
          <w:bCs/>
          <w:sz w:val="28"/>
          <w:szCs w:val="28"/>
          <w:lang w:val="en-US"/>
        </w:rPr>
      </w:pPr>
      <w:r>
        <w:rPr>
          <w:rFonts w:hint="eastAsia" w:asciiTheme="minorEastAsia" w:hAnsiTheme="minorEastAsia" w:eastAsiaTheme="minorEastAsia" w:cstheme="minorEastAsia"/>
          <w:b/>
          <w:bCs/>
          <w:sz w:val="28"/>
          <w:szCs w:val="28"/>
          <w:lang w:val="en-US"/>
        </w:rPr>
        <w:t>4.1.2.2红色预警启动条件</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1）接到区生态环境局指令或信息通报后，虽污染物未迁移至水源地应急预案适用的地域范围内，但污染物已进入水源保护区上游连接水体，研判认为对饮用水水源地水质有影响，可能影响取水；</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2）通过信息报告发现，在水源地二级保护区内发生突发环境事件；</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3）通过信息报告发现，或污染物已扩散至距水源保护区上游连接水体的直线距离不足 100 米的陆域或水域；</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4）通过信息报告发现，或污染物已扩散至距水源保护区上游连接水体的直线距离不足 200 米的陆域或水域，经水质监测和信息研判，判断污染物迁移至取水口位置时，相应指标浓度仍会超标的；</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5）通过监测发现，水源保护区或其上游连接水体理化指标异常；</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6）通过监测发现，水源保护区或其上游连接水体感官性状异常，即水体出现异常颜色或气味的；</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7）通过监测发现，水源保护区或其上游连接水体水面出现大面积生物死亡的，即水面出现大面积死鱼或生物综合毒性异 常并经实验室监测后确认的。</w:t>
      </w:r>
    </w:p>
    <w:p>
      <w:pPr>
        <w:pStyle w:val="8"/>
        <w:spacing w:line="360" w:lineRule="auto"/>
        <w:ind w:left="0"/>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lang w:val="en-US"/>
        </w:rPr>
        <w:t>4.1.3</w:t>
      </w:r>
      <w:r>
        <w:rPr>
          <w:rFonts w:hint="eastAsia" w:asciiTheme="minorEastAsia" w:hAnsiTheme="minorEastAsia" w:eastAsiaTheme="minorEastAsia" w:cstheme="minorEastAsia"/>
          <w:b/>
          <w:bCs/>
          <w:sz w:val="28"/>
          <w:szCs w:val="28"/>
        </w:rPr>
        <w:t>发布预警和预警级别调整</w:t>
      </w:r>
    </w:p>
    <w:p>
      <w:pPr>
        <w:pStyle w:val="8"/>
        <w:spacing w:line="360" w:lineRule="auto"/>
        <w:ind w:left="0"/>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lang w:val="en-US"/>
        </w:rPr>
        <w:t>4.1.3.1</w:t>
      </w:r>
      <w:r>
        <w:rPr>
          <w:rFonts w:hint="eastAsia" w:asciiTheme="minorEastAsia" w:hAnsiTheme="minorEastAsia" w:eastAsiaTheme="minorEastAsia" w:cstheme="minorEastAsia"/>
          <w:b/>
          <w:bCs/>
          <w:sz w:val="28"/>
          <w:szCs w:val="28"/>
        </w:rPr>
        <w:t>预警发布</w:t>
      </w:r>
    </w:p>
    <w:p>
      <w:pPr>
        <w:pStyle w:val="8"/>
        <w:spacing w:line="360" w:lineRule="auto"/>
        <w:ind w:left="0" w:firstLine="562"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b/>
          <w:bCs/>
          <w:sz w:val="28"/>
          <w:szCs w:val="28"/>
          <w:lang w:val="en-US"/>
        </w:rPr>
        <w:t>橙色预警</w:t>
      </w:r>
      <w:r>
        <w:rPr>
          <w:rFonts w:hint="eastAsia" w:asciiTheme="minorEastAsia" w:hAnsiTheme="minorEastAsia" w:eastAsiaTheme="minorEastAsia" w:cstheme="minorEastAsia"/>
          <w:sz w:val="28"/>
          <w:szCs w:val="28"/>
          <w:lang w:val="en-US"/>
        </w:rPr>
        <w:t>和</w:t>
      </w:r>
      <w:r>
        <w:rPr>
          <w:rFonts w:hint="eastAsia" w:asciiTheme="minorEastAsia" w:hAnsiTheme="minorEastAsia" w:eastAsiaTheme="minorEastAsia" w:cstheme="minorEastAsia"/>
          <w:b/>
          <w:bCs/>
          <w:sz w:val="28"/>
          <w:szCs w:val="28"/>
          <w:lang w:val="en-US"/>
        </w:rPr>
        <w:t>红色预警</w:t>
      </w:r>
      <w:r>
        <w:rPr>
          <w:rFonts w:hint="eastAsia" w:asciiTheme="minorEastAsia" w:hAnsiTheme="minorEastAsia" w:eastAsiaTheme="minorEastAsia" w:cstheme="minorEastAsia"/>
          <w:sz w:val="28"/>
          <w:szCs w:val="28"/>
          <w:lang w:val="en-US"/>
        </w:rPr>
        <w:t>由镇政府及其指定部门发布或上级人民政府及其指定部门发布。</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预警发布内容应包括，但不限于以下内容：</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1）类别、预警级别</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2）事件起止时间、可能影响的范围</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3）应采取的措施和发布机关</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4）警示事项</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根据不同的突发水环境事件类型，应急指挥部办公室对现场应急指挥部的成员单位，发布预警信息。</w:t>
      </w:r>
    </w:p>
    <w:p>
      <w:pPr>
        <w:pStyle w:val="8"/>
        <w:spacing w:line="360" w:lineRule="auto"/>
        <w:ind w:left="0"/>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lang w:val="en-US"/>
        </w:rPr>
        <w:t>4.1.3.2</w:t>
      </w:r>
      <w:r>
        <w:rPr>
          <w:rFonts w:hint="eastAsia" w:asciiTheme="minorEastAsia" w:hAnsiTheme="minorEastAsia" w:eastAsiaTheme="minorEastAsia" w:cstheme="minorEastAsia"/>
          <w:b/>
          <w:bCs/>
          <w:sz w:val="28"/>
          <w:szCs w:val="28"/>
        </w:rPr>
        <w:t>预警级别调整</w:t>
      </w:r>
    </w:p>
    <w:p>
      <w:pPr>
        <w:pStyle w:val="8"/>
        <w:spacing w:line="360" w:lineRule="auto"/>
        <w:ind w:left="0"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rPr>
        <w:t>应急指挥部办公室根据事态的发展和采取措施的效果，进一步研判，如需调整级别，应按照有关规定，上报镇政府，由镇政府调整预级别并再次发布预警信息。同时向上级人民政府或指定部门报告，必要时可越级上报。</w:t>
      </w:r>
    </w:p>
    <w:p>
      <w:pPr>
        <w:pStyle w:val="8"/>
        <w:spacing w:line="360" w:lineRule="auto"/>
        <w:ind w:left="0"/>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lang w:val="en-US"/>
        </w:rPr>
        <w:t>4.1.4</w:t>
      </w:r>
      <w:r>
        <w:rPr>
          <w:rFonts w:hint="eastAsia" w:asciiTheme="minorEastAsia" w:hAnsiTheme="minorEastAsia" w:eastAsiaTheme="minorEastAsia" w:cstheme="minorEastAsia"/>
          <w:b/>
          <w:bCs/>
          <w:sz w:val="28"/>
          <w:szCs w:val="28"/>
        </w:rPr>
        <w:t>预警行动</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发布橙色预警时，现场应急指挥部总指挥组织开展预警行动，预警行动包含但不限于以下内容：</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1）通知相关部门或水厂，告知突发环境事件信息，接收通知的单位应启动本单位相关应急预案。</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2）指令应急监测组联系监测机构立即开展监测、检测、随时掌握并报告事态的发展进度；</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3）应急准备。按照职责，相应成员单位进入待命状态，必要时到达现场开展相关工作。</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4）舆论引导。及时准确发布事态最新情况，公布咨询电话，组织专家解读。加强相关舆情监测，做好舆论引导工作。</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发布红色预警时，应急指挥部总指挥组织开展应急响应工作，预警行动包含但不限于以下内容：</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1）下达启动饮用水水源地应急预案的命令；</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2）通知现场应急指挥部中的有关单位和人员做好应急准备，进入待命状态，必要时到达现场开展相关工作；</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3）通知饮用水水源地供水单位进入待命状态，做好停止取水、深度处理、低压供水或启动备用水源等准备；</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4）加强信息监控，核实突发环境事件污染来源、进入水体的污染物种类和总量、污染扩散范围等信息；</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5）指令应急监测组联系监测机构立即开展监测、检测、随时掌握并报告事态的发展进度；</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6）做好事件信息上报和通报；</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7）调集所需应急物资和设备，做好应急保障；</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8）在危险区域设置提示或警告标志；</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9）必要时，及时通过媒体向公众发布信息；</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10）加强舆情监测、引导和应对工作。</w:t>
      </w:r>
    </w:p>
    <w:p>
      <w:pPr>
        <w:pStyle w:val="8"/>
        <w:spacing w:line="360" w:lineRule="auto"/>
        <w:ind w:left="0"/>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lang w:val="en-US"/>
        </w:rPr>
        <w:t>4.1.5</w:t>
      </w:r>
      <w:r>
        <w:rPr>
          <w:rFonts w:hint="eastAsia" w:asciiTheme="minorEastAsia" w:hAnsiTheme="minorEastAsia" w:eastAsiaTheme="minorEastAsia" w:cstheme="minorEastAsia"/>
          <w:b/>
          <w:bCs/>
          <w:sz w:val="28"/>
          <w:szCs w:val="28"/>
        </w:rPr>
        <w:t>预警解除</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当引起预警的条件消除和各类隐患排除后，辖区内饮用水水源地水质及供水不会受到影响时，由发布预警的单位下达预警解除指令，终止已经采取的有关行动和措施。</w:t>
      </w:r>
    </w:p>
    <w:p>
      <w:pPr>
        <w:pStyle w:val="8"/>
        <w:spacing w:line="360" w:lineRule="auto"/>
        <w:ind w:left="0"/>
        <w:outlineLvl w:val="1"/>
        <w:rPr>
          <w:rFonts w:asciiTheme="minorEastAsia" w:hAnsiTheme="minorEastAsia" w:eastAsiaTheme="minorEastAsia" w:cstheme="minorEastAsia"/>
          <w:b/>
          <w:bCs/>
          <w:sz w:val="28"/>
          <w:szCs w:val="28"/>
        </w:rPr>
      </w:pPr>
      <w:bookmarkStart w:id="52" w:name="_Toc6809"/>
      <w:r>
        <w:rPr>
          <w:rFonts w:hint="eastAsia" w:asciiTheme="minorEastAsia" w:hAnsiTheme="minorEastAsia" w:eastAsiaTheme="minorEastAsia" w:cstheme="minorEastAsia"/>
          <w:b/>
          <w:bCs/>
          <w:sz w:val="28"/>
          <w:szCs w:val="28"/>
          <w:lang w:val="en-US"/>
        </w:rPr>
        <w:t>4.2</w:t>
      </w:r>
      <w:r>
        <w:rPr>
          <w:rFonts w:hint="eastAsia" w:asciiTheme="minorEastAsia" w:hAnsiTheme="minorEastAsia" w:eastAsiaTheme="minorEastAsia" w:cstheme="minorEastAsia"/>
          <w:b/>
          <w:bCs/>
          <w:sz w:val="28"/>
          <w:szCs w:val="28"/>
        </w:rPr>
        <w:t>信息报告与通报</w:t>
      </w:r>
      <w:bookmarkEnd w:id="52"/>
    </w:p>
    <w:p>
      <w:pPr>
        <w:pStyle w:val="8"/>
        <w:spacing w:line="360" w:lineRule="auto"/>
        <w:ind w:left="0"/>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lang w:val="en-US"/>
        </w:rPr>
        <w:t>4.2.1</w:t>
      </w:r>
      <w:r>
        <w:rPr>
          <w:rFonts w:hint="eastAsia" w:asciiTheme="minorEastAsia" w:hAnsiTheme="minorEastAsia" w:eastAsiaTheme="minorEastAsia" w:cstheme="minorEastAsia"/>
          <w:b/>
          <w:bCs/>
          <w:sz w:val="28"/>
          <w:szCs w:val="28"/>
        </w:rPr>
        <w:t>信息报告与通报原则及对象</w:t>
      </w:r>
    </w:p>
    <w:p>
      <w:pPr>
        <w:pStyle w:val="8"/>
        <w:numPr>
          <w:ilvl w:val="0"/>
          <w:numId w:val="1"/>
        </w:numPr>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内部报告</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一旦发生饮用水水源地突发环境事件，现场工作人员或事件最早发现者应立即采取相应的处置措施，并拨打镇政府应急值班电话，向应急值班人员报告事件情况，应急值班人员立即报告应急办公室，应急办公室上报应急领导小组组长。</w:t>
      </w:r>
    </w:p>
    <w:p>
      <w:pPr>
        <w:pStyle w:val="8"/>
        <w:spacing w:line="360" w:lineRule="auto"/>
        <w:ind w:left="0" w:firstLine="562" w:firstLineChars="200"/>
        <w:rPr>
          <w:rFonts w:asciiTheme="minorEastAsia" w:hAnsiTheme="minorEastAsia" w:eastAsiaTheme="minorEastAsia" w:cstheme="minorEastAsia"/>
          <w:b/>
          <w:bCs/>
          <w:sz w:val="28"/>
          <w:szCs w:val="28"/>
          <w:lang w:val="en-US"/>
        </w:rPr>
      </w:pPr>
      <w:r>
        <w:rPr>
          <w:rFonts w:hint="eastAsia" w:asciiTheme="minorEastAsia" w:hAnsiTheme="minorEastAsia" w:eastAsiaTheme="minorEastAsia" w:cstheme="minorEastAsia"/>
          <w:b/>
          <w:bCs/>
          <w:sz w:val="28"/>
          <w:szCs w:val="28"/>
          <w:lang w:val="en-US"/>
        </w:rPr>
        <w:t>满月镇应急值班电话：023-52445513</w:t>
      </w:r>
    </w:p>
    <w:p>
      <w:pPr>
        <w:pStyle w:val="8"/>
        <w:numPr>
          <w:ilvl w:val="0"/>
          <w:numId w:val="1"/>
        </w:numPr>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外部报告</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应急领导小组组长经分析饮用水水源地突发环境事件的严重程度，应通知水厂停止取水并监测水厂现存饮用水水质及现存水数量。并向区生态环境局、区政府报告。如水厂监测现存饮用水水质已受到污染，应向区城市管理局报告，寻求帮助协助断水。</w:t>
      </w:r>
    </w:p>
    <w:p>
      <w:pPr>
        <w:pStyle w:val="8"/>
        <w:spacing w:line="360" w:lineRule="auto"/>
        <w:ind w:left="0" w:firstLine="562" w:firstLineChars="200"/>
        <w:rPr>
          <w:rFonts w:asciiTheme="minorEastAsia" w:hAnsiTheme="minorEastAsia" w:eastAsiaTheme="minorEastAsia" w:cstheme="minorEastAsia"/>
          <w:b/>
          <w:bCs/>
          <w:sz w:val="28"/>
          <w:szCs w:val="28"/>
          <w:lang w:val="en-US"/>
        </w:rPr>
      </w:pPr>
      <w:r>
        <w:rPr>
          <w:rFonts w:hint="eastAsia" w:asciiTheme="minorEastAsia" w:hAnsiTheme="minorEastAsia" w:eastAsiaTheme="minorEastAsia" w:cstheme="minorEastAsia"/>
          <w:b/>
          <w:bCs/>
          <w:sz w:val="28"/>
          <w:szCs w:val="28"/>
          <w:lang w:val="en-US"/>
        </w:rPr>
        <w:t>开州区人民政府：023-52116111</w:t>
      </w:r>
    </w:p>
    <w:p>
      <w:pPr>
        <w:pStyle w:val="8"/>
        <w:spacing w:line="360" w:lineRule="auto"/>
        <w:ind w:left="0" w:firstLine="562" w:firstLineChars="200"/>
        <w:rPr>
          <w:rFonts w:asciiTheme="minorEastAsia" w:hAnsiTheme="minorEastAsia" w:eastAsiaTheme="minorEastAsia" w:cstheme="minorEastAsia"/>
          <w:b/>
          <w:bCs/>
          <w:sz w:val="28"/>
          <w:szCs w:val="28"/>
          <w:lang w:val="en-US"/>
        </w:rPr>
      </w:pPr>
      <w:r>
        <w:rPr>
          <w:rFonts w:hint="eastAsia" w:asciiTheme="minorEastAsia" w:hAnsiTheme="minorEastAsia" w:eastAsiaTheme="minorEastAsia" w:cstheme="minorEastAsia"/>
          <w:b/>
          <w:bCs/>
          <w:sz w:val="28"/>
          <w:szCs w:val="28"/>
          <w:lang w:val="en-US"/>
        </w:rPr>
        <w:t>开州区生态环境局：023-52255600</w:t>
      </w:r>
    </w:p>
    <w:p>
      <w:pPr>
        <w:pStyle w:val="8"/>
        <w:spacing w:line="360" w:lineRule="auto"/>
        <w:ind w:left="0" w:firstLine="562" w:firstLineChars="200"/>
        <w:rPr>
          <w:rFonts w:asciiTheme="minorEastAsia" w:hAnsiTheme="minorEastAsia" w:eastAsiaTheme="minorEastAsia" w:cstheme="minorEastAsia"/>
          <w:b/>
          <w:bCs/>
          <w:sz w:val="28"/>
          <w:szCs w:val="28"/>
          <w:lang w:val="en-US"/>
        </w:rPr>
      </w:pPr>
      <w:r>
        <w:rPr>
          <w:rFonts w:hint="eastAsia" w:asciiTheme="minorEastAsia" w:hAnsiTheme="minorEastAsia" w:eastAsiaTheme="minorEastAsia" w:cstheme="minorEastAsia"/>
          <w:b/>
          <w:bCs/>
          <w:sz w:val="28"/>
          <w:szCs w:val="28"/>
          <w:lang w:val="en-US"/>
        </w:rPr>
        <w:t>开州区城市管理局：023-52688003</w:t>
      </w:r>
    </w:p>
    <w:p>
      <w:pPr>
        <w:pStyle w:val="8"/>
        <w:spacing w:line="360" w:lineRule="auto"/>
        <w:ind w:left="0" w:firstLine="562" w:firstLineChars="200"/>
        <w:rPr>
          <w:rFonts w:asciiTheme="minorEastAsia" w:hAnsiTheme="minorEastAsia" w:eastAsiaTheme="minorEastAsia" w:cstheme="minorEastAsia"/>
          <w:b/>
          <w:bCs/>
          <w:sz w:val="28"/>
          <w:szCs w:val="28"/>
          <w:lang w:val="en-US"/>
        </w:rPr>
      </w:pPr>
      <w:r>
        <w:rPr>
          <w:rFonts w:hint="eastAsia" w:asciiTheme="minorEastAsia" w:hAnsiTheme="minorEastAsia" w:eastAsiaTheme="minorEastAsia" w:cstheme="minorEastAsia"/>
          <w:b/>
          <w:bCs/>
          <w:sz w:val="28"/>
          <w:szCs w:val="28"/>
          <w:lang w:val="en-US"/>
        </w:rPr>
        <w:t>开州区满月水厂：15025597773</w:t>
      </w:r>
    </w:p>
    <w:p>
      <w:pPr>
        <w:pStyle w:val="8"/>
        <w:spacing w:line="360" w:lineRule="auto"/>
        <w:ind w:left="0"/>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lang w:val="en-US"/>
        </w:rPr>
        <w:t>4.2.2</w:t>
      </w:r>
      <w:r>
        <w:rPr>
          <w:rFonts w:hint="eastAsia" w:asciiTheme="minorEastAsia" w:hAnsiTheme="minorEastAsia" w:eastAsiaTheme="minorEastAsia" w:cstheme="minorEastAsia"/>
          <w:b/>
          <w:bCs/>
          <w:sz w:val="28"/>
          <w:szCs w:val="28"/>
        </w:rPr>
        <w:t>信息报告与通报内容程序及内容</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1）初报</w:t>
      </w:r>
    </w:p>
    <w:p>
      <w:pPr>
        <w:pStyle w:val="8"/>
        <w:spacing w:line="360" w:lineRule="auto"/>
        <w:ind w:left="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（1）初报程序</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对水源地保护区造成或者可能造成影响的，按突发环境事件的报告程序进行上报，现场应急指挥部应在到达现场后1小时内向区政府报告。</w:t>
      </w:r>
    </w:p>
    <w:p>
      <w:pPr>
        <w:pStyle w:val="8"/>
        <w:spacing w:line="360" w:lineRule="auto"/>
        <w:ind w:left="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（2）初报内容</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初报应报告水源地突发环境事件的发生时间、地点、信息来源、事件起因和性质、基本过程、污染物和数量、监测结果、 人员伤亡情况、水源地受影响情况、事件发展趋势、处置情况、拟采取的措施以及下一步工作建议等初步情况。</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2）续报程序与内容</w:t>
      </w:r>
    </w:p>
    <w:p>
      <w:pPr>
        <w:pStyle w:val="8"/>
        <w:spacing w:line="360" w:lineRule="auto"/>
        <w:ind w:left="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（1）续报程序</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现场应急指挥部对初报时要素不齐全或事件衍生出新情况， 处置工作有新进展的，要及时续报，根据情况每天不少于 1 次向区生态环境局、区政府书面报告。</w:t>
      </w:r>
    </w:p>
    <w:p>
      <w:pPr>
        <w:pStyle w:val="8"/>
        <w:spacing w:line="360" w:lineRule="auto"/>
        <w:ind w:left="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（2）续报内容</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续报应当在初报的基础上报告突发环境事件有关的监测数据、发生原因、过程、进展情况、趋势分析、危害程度以及采取的措施、效果等情况，附应急监测快报和监测点位分布图等。</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3）处理结果报告程序与内容</w:t>
      </w:r>
    </w:p>
    <w:p>
      <w:pPr>
        <w:pStyle w:val="8"/>
        <w:spacing w:line="360" w:lineRule="auto"/>
        <w:ind w:left="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（1）处理结果报告程序</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突发环境事件处理完毕后15天内，应急指挥部办公室应编制突发水环境事件处理结果报告。</w:t>
      </w:r>
    </w:p>
    <w:p>
      <w:pPr>
        <w:pStyle w:val="8"/>
        <w:spacing w:line="360" w:lineRule="auto"/>
        <w:ind w:left="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（2）处理结果报告内容</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处理结果报告应在初报、续报的基础上，报告突发环境事件的处置措施、过程和结果等详细情况。</w:t>
      </w:r>
    </w:p>
    <w:p>
      <w:pPr>
        <w:pStyle w:val="8"/>
        <w:spacing w:line="360" w:lineRule="auto"/>
        <w:ind w:left="0"/>
        <w:outlineLvl w:val="1"/>
        <w:rPr>
          <w:rFonts w:asciiTheme="minorEastAsia" w:hAnsiTheme="minorEastAsia" w:eastAsiaTheme="minorEastAsia" w:cstheme="minorEastAsia"/>
          <w:b/>
          <w:bCs/>
          <w:sz w:val="28"/>
          <w:szCs w:val="28"/>
        </w:rPr>
      </w:pPr>
      <w:bookmarkStart w:id="53" w:name="_Toc16743"/>
      <w:r>
        <w:rPr>
          <w:rFonts w:hint="eastAsia" w:asciiTheme="minorEastAsia" w:hAnsiTheme="minorEastAsia" w:eastAsiaTheme="minorEastAsia" w:cstheme="minorEastAsia"/>
          <w:b/>
          <w:bCs/>
          <w:sz w:val="28"/>
          <w:szCs w:val="28"/>
          <w:lang w:val="en-US"/>
        </w:rPr>
        <w:t>4.3</w:t>
      </w:r>
      <w:r>
        <w:rPr>
          <w:rFonts w:hint="eastAsia" w:asciiTheme="minorEastAsia" w:hAnsiTheme="minorEastAsia" w:eastAsiaTheme="minorEastAsia" w:cstheme="minorEastAsia"/>
          <w:b/>
          <w:bCs/>
          <w:sz w:val="28"/>
          <w:szCs w:val="28"/>
        </w:rPr>
        <w:t>事态跟踪研判</w:t>
      </w:r>
      <w:bookmarkEnd w:id="53"/>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由现场应急指挥部组织开展事态跟踪研判。</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事态跟踪研判包括但</w:t>
      </w:r>
      <w:bookmarkStart w:id="89" w:name="_GoBack"/>
      <w:bookmarkEnd w:id="89"/>
      <w:r>
        <w:rPr>
          <w:rFonts w:hint="eastAsia" w:asciiTheme="minorEastAsia" w:hAnsiTheme="minorEastAsia" w:eastAsiaTheme="minorEastAsia" w:cstheme="minorEastAsia"/>
          <w:sz w:val="28"/>
          <w:szCs w:val="28"/>
          <w:lang w:val="en-US"/>
        </w:rPr>
        <w:t>不限于以下内容：事故点下游沿河水利设施工程情况、判断污染物进入河流的数量及种类性质、事故点下游水系分布（包括清洁水情况）、距离水源地取水口的距离和可能对水源地造成的危害，以及备用水源地情况。</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根据事态跟踪研判的结果，制定和动态调整应急响应有关方案、实施应急监测、污染源排查与处置和应急处置方法。</w:t>
      </w:r>
    </w:p>
    <w:p>
      <w:pPr>
        <w:pStyle w:val="8"/>
        <w:spacing w:line="360" w:lineRule="auto"/>
        <w:ind w:left="0"/>
        <w:outlineLvl w:val="1"/>
        <w:rPr>
          <w:rFonts w:asciiTheme="minorEastAsia" w:hAnsiTheme="minorEastAsia" w:eastAsiaTheme="minorEastAsia" w:cstheme="minorEastAsia"/>
          <w:b/>
          <w:bCs/>
          <w:sz w:val="28"/>
          <w:szCs w:val="28"/>
        </w:rPr>
      </w:pPr>
      <w:bookmarkStart w:id="54" w:name="_Toc5657"/>
      <w:r>
        <w:rPr>
          <w:rFonts w:hint="eastAsia" w:asciiTheme="minorEastAsia" w:hAnsiTheme="minorEastAsia" w:eastAsiaTheme="minorEastAsia" w:cstheme="minorEastAsia"/>
          <w:b/>
          <w:bCs/>
          <w:sz w:val="28"/>
          <w:szCs w:val="28"/>
          <w:lang w:val="en-US"/>
        </w:rPr>
        <w:t>4.4</w:t>
      </w:r>
      <w:r>
        <w:rPr>
          <w:rFonts w:hint="eastAsia" w:asciiTheme="minorEastAsia" w:hAnsiTheme="minorEastAsia" w:eastAsiaTheme="minorEastAsia" w:cstheme="minorEastAsia"/>
          <w:b/>
          <w:bCs/>
          <w:sz w:val="28"/>
          <w:szCs w:val="28"/>
        </w:rPr>
        <w:t>应急监测</w:t>
      </w:r>
      <w:bookmarkEnd w:id="54"/>
    </w:p>
    <w:p>
      <w:pPr>
        <w:pStyle w:val="8"/>
        <w:spacing w:line="360" w:lineRule="auto"/>
        <w:ind w:left="0"/>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lang w:val="en-US"/>
        </w:rPr>
        <w:t>4.4.1</w:t>
      </w:r>
      <w:r>
        <w:rPr>
          <w:rFonts w:hint="eastAsia" w:asciiTheme="minorEastAsia" w:hAnsiTheme="minorEastAsia" w:eastAsiaTheme="minorEastAsia" w:cstheme="minorEastAsia"/>
          <w:b/>
          <w:bCs/>
          <w:sz w:val="28"/>
          <w:szCs w:val="28"/>
        </w:rPr>
        <w:t>开展应急监测程序</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事件处置初期，应急检测机构应根据现场实际情况制定监测方案、设置监测点位（断面）、确定监测频次、组织开展监测、形成监测报告，第一时间向现场应急指挥部报告监测结果和污染浓度变化态势图，并安排人员对突发环境事件监测情况进行全过程记录。</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事件处置中期，应根据事态发展，如上游来水量、应急处置 措施效果等情况，适时调整监测点位（断面）和监测频次。</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事件处置末期，应按照现场应急指挥部命令，开展跟踪监测，并向现场应急指挥部提交应急监测总结报告。</w:t>
      </w:r>
    </w:p>
    <w:p>
      <w:pPr>
        <w:pStyle w:val="8"/>
        <w:spacing w:line="360" w:lineRule="auto"/>
        <w:ind w:left="0"/>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lang w:val="en-US"/>
        </w:rPr>
        <w:t>4.4.2</w:t>
      </w:r>
      <w:r>
        <w:rPr>
          <w:rFonts w:hint="eastAsia" w:asciiTheme="minorEastAsia" w:hAnsiTheme="minorEastAsia" w:eastAsiaTheme="minorEastAsia" w:cstheme="minorEastAsia"/>
          <w:b/>
          <w:bCs/>
          <w:sz w:val="28"/>
          <w:szCs w:val="28"/>
        </w:rPr>
        <w:t>制定应急监测方案</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应急监测组根据突发事件性质，征询应急专家组意见，编制应急监测方案。内容应包括：依据的技术规范、实施人员、布点 原则、采样频次和注意事项、监测结果记录和报告方式等。</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应急监测重点是抓住污染带前峰、峰值位置和浓度变化，对污染带移动过程形成动态监控。当污染来源不明时，应先通过应急监测确定特征污染物成份，再进行污染源排查和先期处置。监测范围、布点、频次及监测因子按如下原则进行布置：</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1）监测范围</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应该涵盖水源地突发环境事件的污染范围，并包括事件可能影响区域和污染物本底浓度的监测区域。</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2）监测布点和频次</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以突发环境事件发生地点为中心或源头，结合水文和气象条件，在其扩散方向及可能受到影响的水源地位置合理布点，必要时在事故影响区域内水源取水口、农灌区取水口处设置监测点位（断面）。应采取不同点位（断面）相同间隔时间（一般为 1 小时）同步采样监测方式，动态监控污染带移动过程。</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针对流动源、非点源突发环境事件，应对事发区域下游水域、下游水源地附近进行加密跟踪监测。</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3）现场采样</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应制定采样计划和准备采样器材。采样量应同时满足快速监测、实验室监测和留样的需要。采样频次应考虑污染程度和现场水文条件，按照应急专家组的意见确定。</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4）监测项目</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监测因子建议包括：PH值、总磷、总氮、动物监测病毒等。可根据突发环境事件特征，删减或补充相关监测因子。</w:t>
      </w:r>
    </w:p>
    <w:p>
      <w:pPr>
        <w:pStyle w:val="8"/>
        <w:spacing w:line="360" w:lineRule="auto"/>
        <w:ind w:left="0"/>
        <w:outlineLvl w:val="1"/>
        <w:rPr>
          <w:rFonts w:asciiTheme="minorEastAsia" w:hAnsiTheme="minorEastAsia" w:eastAsiaTheme="minorEastAsia" w:cstheme="minorEastAsia"/>
          <w:b/>
          <w:bCs/>
          <w:sz w:val="28"/>
          <w:szCs w:val="28"/>
        </w:rPr>
      </w:pPr>
      <w:bookmarkStart w:id="55" w:name="_Toc27487"/>
      <w:r>
        <w:rPr>
          <w:rFonts w:hint="eastAsia" w:asciiTheme="minorEastAsia" w:hAnsiTheme="minorEastAsia" w:eastAsiaTheme="minorEastAsia" w:cstheme="minorEastAsia"/>
          <w:b/>
          <w:bCs/>
          <w:sz w:val="28"/>
          <w:szCs w:val="28"/>
          <w:lang w:val="en-US"/>
        </w:rPr>
        <w:t>4.5污染</w:t>
      </w:r>
      <w:r>
        <w:rPr>
          <w:rFonts w:hint="eastAsia" w:asciiTheme="minorEastAsia" w:hAnsiTheme="minorEastAsia" w:eastAsiaTheme="minorEastAsia" w:cstheme="minorEastAsia"/>
          <w:b/>
          <w:bCs/>
          <w:sz w:val="28"/>
          <w:szCs w:val="28"/>
        </w:rPr>
        <w:t>源排查与处置</w:t>
      </w:r>
      <w:bookmarkEnd w:id="55"/>
    </w:p>
    <w:p>
      <w:pPr>
        <w:pStyle w:val="8"/>
        <w:spacing w:line="360" w:lineRule="auto"/>
        <w:ind w:left="0"/>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lang w:val="en-US"/>
        </w:rPr>
        <w:t>4.5.1</w:t>
      </w:r>
      <w:r>
        <w:rPr>
          <w:rFonts w:hint="eastAsia" w:asciiTheme="minorEastAsia" w:hAnsiTheme="minorEastAsia" w:eastAsiaTheme="minorEastAsia" w:cstheme="minorEastAsia"/>
          <w:b/>
          <w:bCs/>
          <w:sz w:val="28"/>
          <w:szCs w:val="28"/>
        </w:rPr>
        <w:t>排查对象</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当水质监测发现异常、污染物来源不确定时，可由应急监测组负责开展溯源分析。</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应急监测组根据应急监测确定特征污染物成份，再结合特征污染物浓度变化、释放总量、释放路径、释放时间，以及当时的水文和气象条件，迅速组织开展事故源排查。</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针对不同类型污染物的排查重点和对象如下。</w:t>
      </w:r>
    </w:p>
    <w:p>
      <w:pPr>
        <w:pStyle w:val="8"/>
        <w:spacing w:line="360" w:lineRule="auto"/>
        <w:ind w:left="0" w:firstLine="560" w:firstLineChars="200"/>
        <w:rPr>
          <w:sz w:val="28"/>
          <w:szCs w:val="28"/>
          <w:lang w:val="en-US"/>
        </w:rPr>
      </w:pPr>
      <w:r>
        <w:rPr>
          <w:rFonts w:hint="eastAsia"/>
          <w:sz w:val="28"/>
          <w:szCs w:val="28"/>
          <w:lang w:val="en-US"/>
        </w:rPr>
        <w:t>1）有机类、营养盐类污染：重点排查城镇生活污水处理厂等的异常情况。</w:t>
      </w:r>
    </w:p>
    <w:p>
      <w:pPr>
        <w:pStyle w:val="8"/>
        <w:spacing w:line="360" w:lineRule="auto"/>
        <w:ind w:left="0" w:firstLine="560" w:firstLineChars="200"/>
        <w:rPr>
          <w:sz w:val="28"/>
          <w:szCs w:val="28"/>
          <w:lang w:val="en-US"/>
        </w:rPr>
      </w:pPr>
      <w:r>
        <w:rPr>
          <w:rFonts w:hint="eastAsia"/>
          <w:sz w:val="28"/>
          <w:szCs w:val="28"/>
          <w:lang w:val="en-US"/>
        </w:rPr>
        <w:t>2）营养盐类污染：重点排查城镇生活污水处理厂、畜禽养殖场（户）、农田种植户、农村居民点等，调查污水处理设施运行、养殖废物处理处置、农药化肥施用、农村生活污染的异常情况。</w:t>
      </w:r>
    </w:p>
    <w:p>
      <w:pPr>
        <w:pStyle w:val="8"/>
        <w:spacing w:line="360" w:lineRule="auto"/>
        <w:ind w:left="0" w:firstLine="560" w:firstLineChars="200"/>
        <w:rPr>
          <w:sz w:val="28"/>
          <w:szCs w:val="28"/>
          <w:lang w:val="en-US"/>
        </w:rPr>
      </w:pPr>
      <w:r>
        <w:rPr>
          <w:rFonts w:hint="eastAsia"/>
          <w:sz w:val="28"/>
          <w:szCs w:val="28"/>
          <w:lang w:val="en-US"/>
        </w:rPr>
        <w:t>3）细菌类污染：重点排查调查污水处理设施运行的异常情况。</w:t>
      </w:r>
    </w:p>
    <w:p>
      <w:pPr>
        <w:pStyle w:val="8"/>
        <w:spacing w:line="360" w:lineRule="auto"/>
        <w:ind w:left="0" w:firstLine="560" w:firstLineChars="200"/>
        <w:rPr>
          <w:sz w:val="28"/>
          <w:szCs w:val="28"/>
          <w:lang w:val="en-US"/>
        </w:rPr>
      </w:pPr>
      <w:r>
        <w:rPr>
          <w:rFonts w:hint="eastAsia"/>
          <w:sz w:val="28"/>
          <w:szCs w:val="28"/>
          <w:lang w:val="en-US"/>
        </w:rPr>
        <w:t>4）农药类污染：重点排查农田种植户、农灌退水排放口，调查农药施用和水土流失的异常情况。</w:t>
      </w:r>
    </w:p>
    <w:p>
      <w:pPr>
        <w:pStyle w:val="8"/>
        <w:spacing w:line="360" w:lineRule="auto"/>
        <w:ind w:left="0" w:firstLine="560" w:firstLineChars="200"/>
        <w:rPr>
          <w:sz w:val="28"/>
          <w:szCs w:val="28"/>
          <w:lang w:val="en-US"/>
        </w:rPr>
      </w:pPr>
      <w:r>
        <w:rPr>
          <w:rFonts w:hint="eastAsia"/>
          <w:sz w:val="28"/>
          <w:szCs w:val="28"/>
          <w:lang w:val="en-US"/>
        </w:rPr>
        <w:t>5)石油类污染：重点排查加油站、运输车辆。</w:t>
      </w:r>
    </w:p>
    <w:p>
      <w:pPr>
        <w:pStyle w:val="8"/>
        <w:spacing w:line="360" w:lineRule="auto"/>
        <w:ind w:left="0" w:firstLine="560" w:firstLineChars="200"/>
        <w:rPr>
          <w:sz w:val="28"/>
          <w:szCs w:val="28"/>
          <w:lang w:val="en-US"/>
        </w:rPr>
      </w:pPr>
      <w:r>
        <w:rPr>
          <w:rFonts w:hint="eastAsia"/>
          <w:sz w:val="28"/>
          <w:szCs w:val="28"/>
          <w:lang w:val="en-US"/>
        </w:rPr>
        <w:t>6)油气管线，调查油气管线的异常情况。</w:t>
      </w:r>
    </w:p>
    <w:p>
      <w:pPr>
        <w:pStyle w:val="8"/>
        <w:spacing w:line="360" w:lineRule="auto"/>
        <w:ind w:left="0"/>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lang w:val="en-US"/>
        </w:rPr>
        <w:t>4.5.2</w:t>
      </w:r>
      <w:r>
        <w:rPr>
          <w:rFonts w:hint="eastAsia" w:asciiTheme="minorEastAsia" w:hAnsiTheme="minorEastAsia" w:eastAsiaTheme="minorEastAsia" w:cstheme="minorEastAsia"/>
          <w:b/>
          <w:bCs/>
          <w:sz w:val="28"/>
          <w:szCs w:val="28"/>
        </w:rPr>
        <w:t>切断污染源</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涉事企事业单位或其他生产经营者应第一时间启动相关应急预案，切断固定的、流动的或非点源的污染源或泄漏源，若涉事企事业单位或其他生产经营者无法有效控制污染源，应将污染源信息上报应急处置组，由应急处置组组织实施事故源切断或控制。</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处置措施采取切断污染源、收集和围堵污染物等，包括但不限于以下内容。</w:t>
      </w:r>
    </w:p>
    <w:p>
      <w:pPr>
        <w:pStyle w:val="8"/>
        <w:spacing w:line="360" w:lineRule="auto"/>
        <w:ind w:left="0" w:firstLine="560" w:firstLineChars="200"/>
        <w:rPr>
          <w:sz w:val="28"/>
          <w:szCs w:val="28"/>
          <w:lang w:val="en-US"/>
        </w:rPr>
      </w:pPr>
      <w:r>
        <w:rPr>
          <w:rFonts w:hint="eastAsia"/>
          <w:sz w:val="28"/>
          <w:szCs w:val="28"/>
          <w:lang w:val="en-US"/>
        </w:rPr>
        <w:t>1）对发生非正常排放或有毒有害物质泄漏的固定源突发环境事件，应尽快采取关闭、封堵、收集、转移等措施，切断污染源或泄漏源。</w:t>
      </w:r>
    </w:p>
    <w:p>
      <w:pPr>
        <w:pStyle w:val="8"/>
        <w:spacing w:line="360" w:lineRule="auto"/>
        <w:ind w:left="0" w:firstLine="560" w:firstLineChars="200"/>
        <w:rPr>
          <w:sz w:val="28"/>
          <w:szCs w:val="28"/>
          <w:lang w:val="en-US"/>
        </w:rPr>
      </w:pPr>
      <w:r>
        <w:rPr>
          <w:rFonts w:hint="eastAsia"/>
          <w:sz w:val="28"/>
          <w:szCs w:val="28"/>
          <w:lang w:val="en-US"/>
        </w:rPr>
        <w:t>2)对道路交通运输过程中发生的流动源突发事件，可启动路面系统的导流槽、应急池或紧急设置围堰、闸坝等，对污染源进行围堵并收集污染物。</w:t>
      </w:r>
    </w:p>
    <w:p>
      <w:pPr>
        <w:pStyle w:val="8"/>
        <w:spacing w:line="360" w:lineRule="auto"/>
        <w:ind w:left="0" w:firstLine="560" w:firstLineChars="200"/>
        <w:rPr>
          <w:sz w:val="28"/>
          <w:szCs w:val="28"/>
          <w:lang w:val="en-US"/>
        </w:rPr>
      </w:pPr>
      <w:r>
        <w:rPr>
          <w:rFonts w:hint="eastAsia"/>
          <w:sz w:val="28"/>
          <w:szCs w:val="28"/>
          <w:lang w:val="en-US"/>
        </w:rPr>
        <w:t>3)启动应急收集系统集中收集陆域污染物，设立拦截设施，防止污染物在陆域漫延，组织有关部门对污染物进行回收处置。</w:t>
      </w:r>
    </w:p>
    <w:p>
      <w:pPr>
        <w:pStyle w:val="8"/>
        <w:spacing w:line="360" w:lineRule="auto"/>
        <w:ind w:left="0" w:firstLine="560" w:firstLineChars="200"/>
        <w:rPr>
          <w:sz w:val="28"/>
          <w:szCs w:val="28"/>
          <w:lang w:val="en-US"/>
        </w:rPr>
      </w:pPr>
      <w:r>
        <w:rPr>
          <w:rFonts w:hint="eastAsia"/>
          <w:sz w:val="28"/>
          <w:szCs w:val="28"/>
          <w:lang w:val="en-US"/>
        </w:rPr>
        <w:t>4)根据现场事态发展对扩散至水体的污染物进行处置。</w:t>
      </w:r>
    </w:p>
    <w:p>
      <w:pPr>
        <w:pStyle w:val="8"/>
        <w:spacing w:line="360" w:lineRule="auto"/>
        <w:ind w:left="0"/>
        <w:rPr>
          <w:rFonts w:asciiTheme="minorEastAsia" w:hAnsiTheme="minorEastAsia" w:eastAsiaTheme="minorEastAsia" w:cstheme="minorEastAsia"/>
          <w:b/>
          <w:bCs/>
          <w:sz w:val="28"/>
          <w:szCs w:val="28"/>
          <w:lang w:val="en-US"/>
        </w:rPr>
      </w:pPr>
      <w:r>
        <w:rPr>
          <w:rFonts w:hint="eastAsia" w:asciiTheme="minorEastAsia" w:hAnsiTheme="minorEastAsia" w:eastAsiaTheme="minorEastAsia" w:cstheme="minorEastAsia"/>
          <w:b/>
          <w:bCs/>
          <w:sz w:val="28"/>
          <w:szCs w:val="28"/>
          <w:lang w:val="en-US"/>
        </w:rPr>
        <w:t>4.5.3水源突发环境污染事件应急处置措施</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1）</w:t>
      </w:r>
      <w:r>
        <w:rPr>
          <w:rFonts w:asciiTheme="minorEastAsia" w:hAnsiTheme="minorEastAsia" w:eastAsiaTheme="minorEastAsia" w:cstheme="minorEastAsia"/>
          <w:sz w:val="28"/>
          <w:szCs w:val="28"/>
          <w:lang w:val="en-US"/>
        </w:rPr>
        <w:t>确认污染物危害及毒性:通过初步判断与监测分析,确认污染物及其危害与毒性,切断污染源,并对同类污染源进行限排、禁排。</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2）</w:t>
      </w:r>
      <w:r>
        <w:rPr>
          <w:rFonts w:asciiTheme="minorEastAsia" w:hAnsiTheme="minorEastAsia" w:eastAsiaTheme="minorEastAsia" w:cstheme="minorEastAsia"/>
          <w:sz w:val="28"/>
          <w:szCs w:val="28"/>
          <w:lang w:val="en-US"/>
        </w:rPr>
        <w:t>确定饮用水源取水口基本情况:确认下游供水设施服务区及服务人口、涉及规模及日供水量、设施管理部门联系方式;取水口名称、地点及距离、地理位置(经纬度)等。</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3）</w:t>
      </w:r>
      <w:r>
        <w:rPr>
          <w:rFonts w:asciiTheme="minorEastAsia" w:hAnsiTheme="minorEastAsia" w:eastAsiaTheme="minorEastAsia" w:cstheme="minorEastAsia"/>
          <w:sz w:val="28"/>
          <w:szCs w:val="28"/>
          <w:lang w:val="en-US"/>
        </w:rPr>
        <w:t>确定地下水取水情况:确认地下水服务范围内灌溉面积、基本农田保护区情况。</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4）</w:t>
      </w:r>
      <w:r>
        <w:rPr>
          <w:rFonts w:asciiTheme="minorEastAsia" w:hAnsiTheme="minorEastAsia" w:eastAsiaTheme="minorEastAsia" w:cstheme="minorEastAsia"/>
          <w:sz w:val="28"/>
          <w:szCs w:val="28"/>
          <w:lang w:val="en-US"/>
        </w:rPr>
        <w:t>通知:立即通知下游可能受到突发水污染事件影响的对象, 特别是可能受到影响的取水口,以便及时采取防备措施。</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5）</w:t>
      </w:r>
      <w:r>
        <w:rPr>
          <w:rFonts w:asciiTheme="minorEastAsia" w:hAnsiTheme="minorEastAsia" w:eastAsiaTheme="minorEastAsia" w:cstheme="minorEastAsia"/>
          <w:sz w:val="28"/>
          <w:szCs w:val="28"/>
          <w:lang w:val="en-US"/>
        </w:rPr>
        <w:t>监测与扩散规律分析:根据各断面污染物监测浓度值、水流速度、各段水体库容量、流域河道地形,上游输入、支流汇入水量,污染物降解速率等,计算水体中污染的总量及各断而通量,建立水质动态预报模型,预测预报出污染带前锋的到达事件、污染峰值及出现事件、可能超标天数等污染态势,以便采取各种应急措施。对污染物的分段阻隔,削减,逐渐稀释,同时,启动自来水厂应急工程或备用水源。</w:t>
      </w:r>
    </w:p>
    <w:p>
      <w:pPr>
        <w:pStyle w:val="8"/>
        <w:spacing w:line="360" w:lineRule="auto"/>
        <w:ind w:left="0"/>
        <w:outlineLvl w:val="1"/>
        <w:rPr>
          <w:rFonts w:asciiTheme="minorEastAsia" w:hAnsiTheme="minorEastAsia" w:eastAsiaTheme="minorEastAsia" w:cstheme="minorEastAsia"/>
          <w:b/>
          <w:bCs/>
          <w:sz w:val="28"/>
          <w:szCs w:val="28"/>
        </w:rPr>
      </w:pPr>
      <w:bookmarkStart w:id="56" w:name="_Toc9578"/>
      <w:r>
        <w:rPr>
          <w:rFonts w:hint="eastAsia" w:asciiTheme="minorEastAsia" w:hAnsiTheme="minorEastAsia" w:eastAsiaTheme="minorEastAsia" w:cstheme="minorEastAsia"/>
          <w:b/>
          <w:bCs/>
          <w:sz w:val="28"/>
          <w:szCs w:val="28"/>
          <w:lang w:val="en-US"/>
        </w:rPr>
        <w:t>4.6</w:t>
      </w:r>
      <w:r>
        <w:rPr>
          <w:rFonts w:hint="eastAsia" w:asciiTheme="minorEastAsia" w:hAnsiTheme="minorEastAsia" w:eastAsiaTheme="minorEastAsia" w:cstheme="minorEastAsia"/>
          <w:b/>
          <w:bCs/>
          <w:sz w:val="28"/>
          <w:szCs w:val="28"/>
        </w:rPr>
        <w:t>应急处置</w:t>
      </w:r>
      <w:bookmarkEnd w:id="56"/>
    </w:p>
    <w:p>
      <w:pPr>
        <w:pStyle w:val="8"/>
        <w:spacing w:line="360" w:lineRule="auto"/>
        <w:ind w:left="0"/>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lang w:val="en-US"/>
        </w:rPr>
        <w:t>4.6.1</w:t>
      </w:r>
      <w:r>
        <w:rPr>
          <w:rFonts w:hint="eastAsia" w:asciiTheme="minorEastAsia" w:hAnsiTheme="minorEastAsia" w:eastAsiaTheme="minorEastAsia" w:cstheme="minorEastAsia"/>
          <w:b/>
          <w:bCs/>
          <w:sz w:val="28"/>
          <w:szCs w:val="28"/>
        </w:rPr>
        <w:t>制定现场处置方案</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现场处置方案包括但不限于以下内容：应急监测、污染处置措施、物资调集、应急队伍和人员安排、供水单位应对措施等。</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根据污染特征，水源地突发环境事件的污染处置措施如下：</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1）水体内污染物治理、总量或浓度削减。根据专家意见，制定综合处置方案，经现场应急指挥部确认后实施。一般采取隔离、吸附、打捞、扰动等物理方法，氧化、沉淀等化学方法，利用湿地生物群消解等生物方法和上游调水等稀释方法， 可以采取一种或多种方式，力争短时间内削减污染物浓度。现场应急指挥部可根据需要，对水源地汇水区域内的污染物排放企业实施停产、减产、限产等措施，削减水域污染物总量或浓度。</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2）应急工程设施拦截污染水体。在河道内启用或修建拦截坝、节制闸等工程设施拦截污染水体；通过导流渠将未受污染 水体导流至污染水体下游，通过分流沟将污染水体分流至水源保 护区外进行收集处置；利用前置库、缓冲池等工程设施，降低污 染水体的污染物浓度，为应急处置争取时间。不能建设永久应急 工程的，应事先论证确定可建设应急工程的地址，并在预案中明确。</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3）针对污染物可采取的物理、化学、生物处理技术如表 4-2 所示。</w:t>
      </w:r>
    </w:p>
    <w:tbl>
      <w:tblPr>
        <w:tblStyle w:val="15"/>
        <w:tblW w:w="0" w:type="auto"/>
        <w:tblInd w:w="183"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093"/>
        <w:gridCol w:w="670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2093" w:type="dxa"/>
            <w:tcBorders>
              <w:bottom w:val="single" w:color="000000" w:sz="4" w:space="0"/>
              <w:right w:val="single" w:color="000000" w:sz="4" w:space="0"/>
            </w:tcBorders>
            <w:noWrap/>
            <w:vAlign w:val="center"/>
          </w:tcPr>
          <w:p>
            <w:pPr>
              <w:pStyle w:val="8"/>
              <w:spacing w:line="360" w:lineRule="auto"/>
              <w:ind w:left="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超标项目</w:t>
            </w:r>
          </w:p>
        </w:tc>
        <w:tc>
          <w:tcPr>
            <w:tcW w:w="6709" w:type="dxa"/>
            <w:tcBorders>
              <w:left w:val="single" w:color="000000" w:sz="4" w:space="0"/>
              <w:bottom w:val="single" w:color="000000" w:sz="4" w:space="0"/>
            </w:tcBorders>
            <w:noWrap/>
            <w:vAlign w:val="center"/>
          </w:tcPr>
          <w:p>
            <w:pPr>
              <w:pStyle w:val="8"/>
              <w:spacing w:line="360" w:lineRule="auto"/>
              <w:ind w:left="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推</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荐 技</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术</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3" w:hRule="atLeast"/>
        </w:trPr>
        <w:tc>
          <w:tcPr>
            <w:tcW w:w="2093" w:type="dxa"/>
            <w:tcBorders>
              <w:top w:val="single" w:color="000000" w:sz="4" w:space="0"/>
              <w:bottom w:val="single" w:color="000000" w:sz="4" w:space="0"/>
              <w:right w:val="single" w:color="000000" w:sz="4" w:space="0"/>
            </w:tcBorders>
            <w:noWrap/>
            <w:vAlign w:val="center"/>
          </w:tcPr>
          <w:p>
            <w:pPr>
              <w:pStyle w:val="8"/>
              <w:spacing w:line="360" w:lineRule="auto"/>
              <w:ind w:left="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浊度</w:t>
            </w:r>
          </w:p>
        </w:tc>
        <w:tc>
          <w:tcPr>
            <w:tcW w:w="6709" w:type="dxa"/>
            <w:tcBorders>
              <w:top w:val="single" w:color="000000" w:sz="4" w:space="0"/>
              <w:left w:val="single" w:color="000000" w:sz="4" w:space="0"/>
              <w:bottom w:val="single" w:color="000000" w:sz="4" w:space="0"/>
            </w:tcBorders>
            <w:noWrap/>
            <w:vAlign w:val="center"/>
          </w:tcPr>
          <w:p>
            <w:pPr>
              <w:pStyle w:val="8"/>
              <w:spacing w:line="360" w:lineRule="auto"/>
              <w:ind w:left="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快速砂滤池、絮凝、沉淀、过滤</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45" w:hRule="atLeast"/>
        </w:trPr>
        <w:tc>
          <w:tcPr>
            <w:tcW w:w="2093" w:type="dxa"/>
            <w:tcBorders>
              <w:top w:val="single" w:color="000000" w:sz="4" w:space="0"/>
              <w:bottom w:val="single" w:color="000000" w:sz="4" w:space="0"/>
              <w:right w:val="single" w:color="000000" w:sz="4" w:space="0"/>
            </w:tcBorders>
            <w:noWrap/>
            <w:vAlign w:val="center"/>
          </w:tcPr>
          <w:p>
            <w:pPr>
              <w:pStyle w:val="8"/>
              <w:spacing w:line="360" w:lineRule="auto"/>
              <w:ind w:left="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色度</w:t>
            </w:r>
          </w:p>
        </w:tc>
        <w:tc>
          <w:tcPr>
            <w:tcW w:w="6709" w:type="dxa"/>
            <w:tcBorders>
              <w:top w:val="single" w:color="000000" w:sz="4" w:space="0"/>
              <w:left w:val="single" w:color="000000" w:sz="4" w:space="0"/>
              <w:bottom w:val="single" w:color="000000" w:sz="4" w:space="0"/>
            </w:tcBorders>
            <w:noWrap/>
            <w:vAlign w:val="center"/>
          </w:tcPr>
          <w:p>
            <w:pPr>
              <w:pStyle w:val="8"/>
              <w:spacing w:line="360" w:lineRule="auto"/>
              <w:ind w:left="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快速砂滤池、絮凝；活性炭吸附；化学氧化预处理：臭氧、氯、高锰酸钾、二氧化氯</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5" w:hRule="atLeast"/>
        </w:trPr>
        <w:tc>
          <w:tcPr>
            <w:tcW w:w="2093" w:type="dxa"/>
            <w:tcBorders>
              <w:top w:val="single" w:color="000000" w:sz="4" w:space="0"/>
              <w:bottom w:val="single" w:color="000000" w:sz="4" w:space="0"/>
              <w:right w:val="single" w:color="000000" w:sz="4" w:space="0"/>
            </w:tcBorders>
            <w:noWrap/>
            <w:vAlign w:val="center"/>
          </w:tcPr>
          <w:p>
            <w:pPr>
              <w:pStyle w:val="8"/>
              <w:spacing w:line="360" w:lineRule="auto"/>
              <w:ind w:left="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嗅味</w:t>
            </w:r>
          </w:p>
        </w:tc>
        <w:tc>
          <w:tcPr>
            <w:tcW w:w="6709" w:type="dxa"/>
            <w:tcBorders>
              <w:top w:val="single" w:color="000000" w:sz="4" w:space="0"/>
              <w:left w:val="single" w:color="000000" w:sz="4" w:space="0"/>
              <w:bottom w:val="single" w:color="000000" w:sz="4" w:space="0"/>
            </w:tcBorders>
            <w:noWrap/>
            <w:vAlign w:val="center"/>
          </w:tcPr>
          <w:p>
            <w:pPr>
              <w:pStyle w:val="8"/>
              <w:spacing w:line="360" w:lineRule="auto"/>
              <w:ind w:left="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化学氧化预处理：臭氧、氯、高锰酸钾、二氧化氯、活性炭</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3" w:hRule="atLeast"/>
        </w:trPr>
        <w:tc>
          <w:tcPr>
            <w:tcW w:w="2093" w:type="dxa"/>
            <w:tcBorders>
              <w:top w:val="single" w:color="000000" w:sz="4" w:space="0"/>
              <w:bottom w:val="single" w:color="000000" w:sz="4" w:space="0"/>
              <w:right w:val="single" w:color="000000" w:sz="4" w:space="0"/>
            </w:tcBorders>
            <w:noWrap/>
            <w:vAlign w:val="center"/>
          </w:tcPr>
          <w:p>
            <w:pPr>
              <w:pStyle w:val="8"/>
              <w:spacing w:line="360" w:lineRule="auto"/>
              <w:ind w:left="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挥发性有机物</w:t>
            </w:r>
          </w:p>
        </w:tc>
        <w:tc>
          <w:tcPr>
            <w:tcW w:w="6709" w:type="dxa"/>
            <w:tcBorders>
              <w:top w:val="single" w:color="000000" w:sz="4" w:space="0"/>
              <w:left w:val="single" w:color="000000" w:sz="4" w:space="0"/>
              <w:bottom w:val="single" w:color="000000" w:sz="4" w:space="0"/>
            </w:tcBorders>
            <w:noWrap/>
            <w:vAlign w:val="center"/>
          </w:tcPr>
          <w:p>
            <w:pPr>
              <w:pStyle w:val="8"/>
              <w:spacing w:line="360" w:lineRule="auto"/>
              <w:ind w:left="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生物活性炭吸附</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3" w:hRule="atLeast"/>
        </w:trPr>
        <w:tc>
          <w:tcPr>
            <w:tcW w:w="2093" w:type="dxa"/>
            <w:tcBorders>
              <w:top w:val="single" w:color="000000" w:sz="4" w:space="0"/>
              <w:bottom w:val="single" w:color="000000" w:sz="4" w:space="0"/>
              <w:right w:val="single" w:color="000000" w:sz="4" w:space="0"/>
            </w:tcBorders>
            <w:noWrap/>
            <w:vAlign w:val="center"/>
          </w:tcPr>
          <w:p>
            <w:pPr>
              <w:pStyle w:val="8"/>
              <w:spacing w:line="360" w:lineRule="auto"/>
              <w:ind w:left="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有机化合物</w:t>
            </w:r>
          </w:p>
        </w:tc>
        <w:tc>
          <w:tcPr>
            <w:tcW w:w="6709" w:type="dxa"/>
            <w:tcBorders>
              <w:top w:val="single" w:color="000000" w:sz="4" w:space="0"/>
              <w:left w:val="single" w:color="000000" w:sz="4" w:space="0"/>
              <w:bottom w:val="single" w:color="000000" w:sz="4" w:space="0"/>
            </w:tcBorders>
            <w:noWrap/>
            <w:vAlign w:val="center"/>
          </w:tcPr>
          <w:p>
            <w:pPr>
              <w:pStyle w:val="8"/>
              <w:spacing w:line="360" w:lineRule="auto"/>
              <w:ind w:left="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生物活性碳、膜处理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3" w:hRule="atLeast"/>
        </w:trPr>
        <w:tc>
          <w:tcPr>
            <w:tcW w:w="2093" w:type="dxa"/>
            <w:tcBorders>
              <w:top w:val="single" w:color="000000" w:sz="4" w:space="0"/>
              <w:bottom w:val="single" w:color="000000" w:sz="4" w:space="0"/>
              <w:right w:val="single" w:color="000000" w:sz="4" w:space="0"/>
            </w:tcBorders>
            <w:noWrap/>
            <w:vAlign w:val="center"/>
          </w:tcPr>
          <w:p>
            <w:pPr>
              <w:pStyle w:val="8"/>
              <w:spacing w:line="360" w:lineRule="auto"/>
              <w:ind w:left="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细菌和病毒</w:t>
            </w:r>
          </w:p>
        </w:tc>
        <w:tc>
          <w:tcPr>
            <w:tcW w:w="6709" w:type="dxa"/>
            <w:tcBorders>
              <w:top w:val="single" w:color="000000" w:sz="4" w:space="0"/>
              <w:left w:val="single" w:color="000000" w:sz="4" w:space="0"/>
              <w:bottom w:val="single" w:color="000000" w:sz="4" w:space="0"/>
            </w:tcBorders>
            <w:noWrap/>
            <w:vAlign w:val="center"/>
          </w:tcPr>
          <w:p>
            <w:pPr>
              <w:pStyle w:val="8"/>
              <w:spacing w:line="360" w:lineRule="auto"/>
              <w:ind w:left="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过滤（部分去除）；消毒处理：氯、二氧化氯、臭氧、膜处理、紫外消毒</w:t>
            </w:r>
          </w:p>
        </w:tc>
      </w:tr>
    </w:tbl>
    <w:p>
      <w:pPr>
        <w:pStyle w:val="8"/>
        <w:spacing w:line="360" w:lineRule="auto"/>
        <w:ind w:left="0"/>
        <w:rPr>
          <w:rFonts w:asciiTheme="minorEastAsia" w:hAnsiTheme="minorEastAsia" w:eastAsiaTheme="minorEastAsia" w:cstheme="minorEastAsia"/>
          <w:sz w:val="28"/>
          <w:szCs w:val="28"/>
        </w:rPr>
      </w:pPr>
      <w:r>
        <w:rPr>
          <w:rFonts w:asciiTheme="minorEastAsia" w:hAnsiTheme="minorEastAsia" w:eastAsiaTheme="minorEastAsia" w:cstheme="minorEastAsia"/>
          <w:sz w:val="28"/>
          <w:szCs w:val="28"/>
        </w:rPr>
        <w:pict>
          <v:rect id="_x0000_s2050" o:spid="_x0000_s2050" o:spt="1" style="position:absolute;left:0pt;margin-left:70.85pt;margin-top:3.95pt;height:31.4pt;width:340.2pt;z-index:251658240;v-text-anchor:middle;mso-width-relative:page;mso-height-relative:page;" stroked="f" coordsize="21600,21600" o:gfxdata="UEsDBAoAAAAAAIdO4kAAAAAAAAAAAAAAAAAEAAAAZHJzL1BLAwQUAAAACACHTuJAHdKOy9cAAAAI&#10;AQAADwAAAGRycy9kb3ducmV2LnhtbE2Pu07EMBBFeyT+wRokOtZOeGQJcbZYiSIFEuxSUHpjk4TE&#10;48h2Hvv3DBVbHt2rO2eK3WoHNhsfOocSko0AZrB2usNGwufx9W4LLESFWg0OjYSzCbArr68KlWu3&#10;4IeZD7FhNIIhVxLaGMec81C3xqqwcaNByr6dtyoS+oZrrxYatwNPhXjiVnVIF1o1mn1r6v4wWQl9&#10;Vdlpfazn6v0t+7n3y7k/fu2lvL1JxAuwaNb4X4Y/fVKHkpxObkId2ED8kGRUlZA9A6N8m6YJsBOx&#10;yICXBb98oPwFUEsDBBQAAAAIAIdO4kBu1zrQhAIAAPAEAAAOAAAAZHJzL2Uyb0RvYy54bWytVEtu&#10;2zAQ3RfoHQjuG8mO7ThG5MCI4aJA0BhIi65pirII8FeS/qSXKdBdD9HjFL1GHynl07SLLKoFNaMZ&#10;vZl5M8OLy6NWZC98kNZUdHBSUiIMt7U024p+/LB6M6UkRGZqpqwRFb0TgV7OX7+6OLiZGNrWqlp4&#10;AhATZgdX0TZGNyuKwFuhWTixThgYG+s1i1D9tqg9OwBdq2JYlpPiYH3tvOUiBHxddkbaI/qXANqm&#10;kVwsLd9pYWKH6oViESWFVrpA5znbphE83jRNEJGoiqLSmE8EgbxJZzG/YLOtZ66VvE+BvSSFZzVp&#10;Jg2CPkAtWWRk5+VfUFpyb4Nt4gm3uugKyYygikH5jJvbljmRawHVwT2QHv4fLH+/X3si64qi7YZp&#10;NPzX1+8/f3wj08TNwYUZXG7d2vdagJgKPTZepzdKIEfM0Xk5npyOKbmr6Hg6mEzKnltxjITDYXQ6&#10;LMcj0M7hcXo+PZtmh+IRyfkQ3wqrSRIq6tG7TCnbX4eI6HC9d0mBg1WyXkmlsuK3myvlyZ6hz6v8&#10;pPTxyx9uypADch2eITvCGaa3wdRA1A4MBLOlhKkt1oJHn2MbmyIAqYu9ZKHtYmTYbnq0jFgIJTU4&#10;LNPTR1Ym/SbyEPYVJDo7ApMUj5tjz+rG1nfog7fdgAbHVxIsXLMQ18xjIpEvdjbe4GiURRG2lyhp&#10;rf/yr+/JH4MCKyUHTDgK/LxjXlCi3hmM0PlglPoRszIanw2h+KeWzVOL2ekrC3IHuB0cz2Lyj+pe&#10;bLzVn7DaixQVJmY4YndU9spV7DYPlwMXi0V2wxo4Fq/NreMJPFFm7GIXbSNz0xNRHTtoZ1KwCLmx&#10;/dKmTXuqZ6/Hi2r+G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PQEAABbQ29udGVudF9UeXBlc10ueG1sUEsBAhQACgAAAAAAh07iQAAAAAAAAAAA&#10;AAAAAAYAAAAAAAAAAAAQAAAA1gMAAF9yZWxzL1BLAQIUABQAAAAIAIdO4kCKFGY80QAAAJQBAAAL&#10;AAAAAAAAAAEAIAAAAPoDAABfcmVscy8ucmVsc1BLAQIUAAoAAAAAAIdO4kAAAAAAAAAAAAAAAAAE&#10;AAAAAAAAAAAAEAAAAAAAAABkcnMvUEsBAhQAFAAAAAgAh07iQB3SjsvXAAAACAEAAA8AAAAAAAAA&#10;AQAgAAAAIgAAAGRycy9kb3ducmV2LnhtbFBLAQIUABQAAAAIAIdO4kBu1zrQhAIAAPAEAAAOAAAA&#10;AAAAAAEAIAAAACYBAABkcnMvZTJvRG9jLnhtbFBLBQYAAAAABgAGAFkBAAAcBgAAAAA=&#10;">
            <v:path/>
            <v:fill focussize="0,0"/>
            <v:stroke on="f" weight="1pt"/>
            <v:imagedata o:title=""/>
            <o:lock v:ext="edit"/>
            <v:textbox>
              <w:txbxContent>
                <w:p>
                  <w:pPr>
                    <w:rPr>
                      <w:rFonts w:ascii="宋体" w:hAnsi="宋体" w:cs="宋体"/>
                      <w:b/>
                      <w:sz w:val="28"/>
                      <w:szCs w:val="28"/>
                    </w:rPr>
                  </w:pPr>
                  <w:r>
                    <w:rPr>
                      <w:rFonts w:hint="eastAsia" w:ascii="宋体" w:hAnsi="宋体" w:cs="宋体"/>
                      <w:b/>
                      <w:sz w:val="28"/>
                      <w:szCs w:val="28"/>
                    </w:rPr>
                    <w:t>表 4-2  适用于处理不同超标项目的推荐技术</w:t>
                  </w:r>
                </w:p>
              </w:txbxContent>
            </v:textbox>
          </v:rect>
        </w:pict>
      </w:r>
    </w:p>
    <w:p>
      <w:pPr>
        <w:pStyle w:val="8"/>
        <w:spacing w:line="360" w:lineRule="auto"/>
        <w:ind w:left="0"/>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lang w:val="en-US"/>
        </w:rPr>
        <w:t>4.6.2</w:t>
      </w:r>
      <w:r>
        <w:rPr>
          <w:rFonts w:hint="eastAsia" w:asciiTheme="minorEastAsia" w:hAnsiTheme="minorEastAsia" w:eastAsiaTheme="minorEastAsia" w:cstheme="minorEastAsia"/>
          <w:b/>
          <w:bCs/>
          <w:sz w:val="28"/>
          <w:szCs w:val="28"/>
        </w:rPr>
        <w:t>现场处置</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现场应急指挥部应根据污染特征，结合专家意见，尽快制定现场处置方案，针对以下情景建议开展如下处置措施：</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1）现场应急指挥部组织应急专家组制订综合治污方案，采取拦截、导流、疏浚等形式防止水体污染扩大；采取隔离、吸附、打捞、氧化还原、中和、去污洗消、临时收贮、转移异地处置、临时改造污染处置工艺或临时建设污染处置工程等方法处置 污染物。必要时，要求其他排污单位停产、限产、限排，减轻环 境污染负荷。</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2）采用监测和模拟等手段追踪污染物扩散途径和范围；</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3）立即组织相关部门开展监测、调查工作，查明涉事单位，确定污染物种类和污染范围，随时掌握并报 告事态进展；</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4）指令应急救援队伍进入应急状态，对于陆地污染物，采用强行止漏法、疏散法和窒息吸附法控制泄漏源，控制泄漏源后可采取围堤堵截或挖掘沟槽收容泄漏物，覆盖减少泄漏物蒸发，稀释，吸附、中和、固化泄漏物，并最终进行污染物收集，防止污染蔓延扩散；</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5）加大饮用水水源地水质监测力度；</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6）水厂立即采取停止取水、减压供水、改路供水、加大投药量深度处理，启用备用水源，并加强事故泄漏污染物监测，分级启动应急供水预案。无备用水源地区，使用应急输供水车等设施保障居民用水。</w:t>
      </w:r>
    </w:p>
    <w:p>
      <w:pPr>
        <w:pStyle w:val="8"/>
        <w:spacing w:line="360" w:lineRule="auto"/>
        <w:ind w:left="0"/>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lang w:val="en-US"/>
        </w:rPr>
        <w:t>4.6.3</w:t>
      </w:r>
      <w:r>
        <w:rPr>
          <w:rFonts w:hint="eastAsia" w:asciiTheme="minorEastAsia" w:hAnsiTheme="minorEastAsia" w:eastAsiaTheme="minorEastAsia" w:cstheme="minorEastAsia"/>
          <w:b/>
          <w:bCs/>
          <w:sz w:val="28"/>
          <w:szCs w:val="28"/>
        </w:rPr>
        <w:t>供水安全保障</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rPr>
        <w:t>当</w:t>
      </w:r>
      <w:r>
        <w:rPr>
          <w:rFonts w:hint="eastAsia" w:asciiTheme="minorEastAsia" w:hAnsiTheme="minorEastAsia" w:eastAsiaTheme="minorEastAsia" w:cstheme="minorEastAsia"/>
          <w:sz w:val="28"/>
          <w:szCs w:val="28"/>
          <w:lang w:val="en-US"/>
        </w:rPr>
        <w:t>出现水源地突发环境事件，水厂应根据污染物的种类、浓度、可能影响取水口的时间，及时采取深度处理、低压供水或启动备用水源等应急措施，并加强污染物监测，待水质满足取水要求时恢复取水和供水。无备用水源的，应使用应急供水车等设施保障居民用水。</w:t>
      </w:r>
    </w:p>
    <w:p>
      <w:pPr>
        <w:pStyle w:val="8"/>
        <w:spacing w:line="360" w:lineRule="auto"/>
        <w:ind w:left="0"/>
        <w:outlineLvl w:val="1"/>
        <w:rPr>
          <w:rFonts w:asciiTheme="minorEastAsia" w:hAnsiTheme="minorEastAsia" w:eastAsiaTheme="minorEastAsia" w:cstheme="minorEastAsia"/>
          <w:b/>
          <w:bCs/>
          <w:sz w:val="28"/>
          <w:szCs w:val="28"/>
        </w:rPr>
      </w:pPr>
      <w:bookmarkStart w:id="57" w:name="_Toc28134"/>
      <w:r>
        <w:rPr>
          <w:rFonts w:hint="eastAsia" w:asciiTheme="minorEastAsia" w:hAnsiTheme="minorEastAsia" w:eastAsiaTheme="minorEastAsia" w:cstheme="minorEastAsia"/>
          <w:b/>
          <w:bCs/>
          <w:sz w:val="28"/>
          <w:szCs w:val="28"/>
          <w:lang w:val="en-US"/>
        </w:rPr>
        <w:t>4.7</w:t>
      </w:r>
      <w:r>
        <w:rPr>
          <w:rFonts w:hint="eastAsia" w:asciiTheme="minorEastAsia" w:hAnsiTheme="minorEastAsia" w:eastAsiaTheme="minorEastAsia" w:cstheme="minorEastAsia"/>
          <w:b/>
          <w:bCs/>
          <w:sz w:val="28"/>
          <w:szCs w:val="28"/>
        </w:rPr>
        <w:t>物资调集及应急设施启用</w:t>
      </w:r>
      <w:bookmarkEnd w:id="57"/>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应急物资、装备由应急保障组进行统一调配。</w:t>
      </w:r>
    </w:p>
    <w:p>
      <w:pPr>
        <w:pStyle w:val="8"/>
        <w:spacing w:line="360" w:lineRule="auto"/>
        <w:ind w:left="0"/>
        <w:outlineLvl w:val="1"/>
        <w:rPr>
          <w:rFonts w:asciiTheme="minorEastAsia" w:hAnsiTheme="minorEastAsia" w:eastAsiaTheme="minorEastAsia" w:cstheme="minorEastAsia"/>
          <w:b/>
          <w:bCs/>
          <w:sz w:val="28"/>
          <w:szCs w:val="28"/>
        </w:rPr>
      </w:pPr>
      <w:bookmarkStart w:id="58" w:name="_Toc1032"/>
      <w:r>
        <w:rPr>
          <w:rFonts w:hint="eastAsia" w:asciiTheme="minorEastAsia" w:hAnsiTheme="minorEastAsia" w:eastAsiaTheme="minorEastAsia" w:cstheme="minorEastAsia"/>
          <w:b/>
          <w:bCs/>
          <w:sz w:val="28"/>
          <w:szCs w:val="28"/>
          <w:lang w:val="en-US"/>
        </w:rPr>
        <w:t>4.8</w:t>
      </w:r>
      <w:r>
        <w:rPr>
          <w:rFonts w:hint="eastAsia" w:asciiTheme="minorEastAsia" w:hAnsiTheme="minorEastAsia" w:eastAsiaTheme="minorEastAsia" w:cstheme="minorEastAsia"/>
          <w:b/>
          <w:bCs/>
          <w:sz w:val="28"/>
          <w:szCs w:val="28"/>
        </w:rPr>
        <w:t>舆情监测与信息发布</w:t>
      </w:r>
      <w:bookmarkEnd w:id="58"/>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综合协调组负责及时按规定通过新闻媒体发布饮用水源突发污染事件处置的相关信息，监控、引导社会舆情。</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现场应急指挥部在突发环境事件发生后，应第一时间通过政府发布新闻通稿、举行新闻发布会等多种形式，借助电视、广播、 报纸、网络等多种途径，运用微博、微信、移动客户端等新媒体平台，主动、及时、准确、客观向社会发布突发环境事件有关信息，回应社会关切，澄清不实信息，正确引导社会舆论。</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发布内容包括事件原因、影响区域、已采取的措施及成效、 公众应注意的防范措施、热线电话等。</w:t>
      </w:r>
    </w:p>
    <w:p>
      <w:pPr>
        <w:pStyle w:val="8"/>
        <w:spacing w:line="360" w:lineRule="auto"/>
        <w:ind w:left="0"/>
        <w:outlineLvl w:val="1"/>
        <w:rPr>
          <w:rFonts w:asciiTheme="minorEastAsia" w:hAnsiTheme="minorEastAsia" w:eastAsiaTheme="minorEastAsia" w:cstheme="minorEastAsia"/>
          <w:b/>
          <w:bCs/>
          <w:sz w:val="28"/>
          <w:szCs w:val="28"/>
        </w:rPr>
      </w:pPr>
      <w:bookmarkStart w:id="59" w:name="_Toc14480"/>
      <w:r>
        <w:rPr>
          <w:rFonts w:hint="eastAsia" w:asciiTheme="minorEastAsia" w:hAnsiTheme="minorEastAsia" w:eastAsiaTheme="minorEastAsia" w:cstheme="minorEastAsia"/>
          <w:b/>
          <w:bCs/>
          <w:sz w:val="28"/>
          <w:szCs w:val="28"/>
          <w:lang w:val="en-US"/>
        </w:rPr>
        <w:t>4.9响应终</w:t>
      </w:r>
      <w:r>
        <w:rPr>
          <w:rFonts w:hint="eastAsia" w:asciiTheme="minorEastAsia" w:hAnsiTheme="minorEastAsia" w:eastAsiaTheme="minorEastAsia" w:cstheme="minorEastAsia"/>
          <w:b/>
          <w:bCs/>
          <w:sz w:val="28"/>
          <w:szCs w:val="28"/>
        </w:rPr>
        <w:t>止</w:t>
      </w:r>
      <w:bookmarkEnd w:id="59"/>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符合下列情形之一的，可终止应急响应。</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1）进入水源保护区陆域范围的污染物已成功围堵，且清运至水源保护区外，未向水域扩散时；</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2）进入水源保护区水域范围的污染团已成功拦截或导流至水源保护区外，没有向取水口扩散的风险，且水质监测结果稳 定达标；</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3）水质监测结果尚未稳定达标，但根据专家建议可恢复正常取水时。</w:t>
      </w:r>
    </w:p>
    <w:p>
      <w:pPr>
        <w:pStyle w:val="8"/>
        <w:spacing w:line="360" w:lineRule="auto"/>
        <w:ind w:left="0"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rPr>
        <w:t>4）由应急指挥部指挥长发布响应终止，终止已经采取的有关行动和措施。</w:t>
      </w:r>
    </w:p>
    <w:p>
      <w:pPr>
        <w:pStyle w:val="8"/>
        <w:spacing w:line="360" w:lineRule="auto"/>
        <w:ind w:left="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br w:type="page"/>
      </w:r>
    </w:p>
    <w:p>
      <w:pPr>
        <w:pStyle w:val="8"/>
        <w:spacing w:line="360" w:lineRule="auto"/>
        <w:ind w:left="0"/>
        <w:outlineLvl w:val="0"/>
        <w:rPr>
          <w:rFonts w:asciiTheme="minorEastAsia" w:hAnsiTheme="minorEastAsia" w:eastAsiaTheme="minorEastAsia" w:cstheme="minorEastAsia"/>
          <w:b/>
          <w:bCs/>
        </w:rPr>
      </w:pPr>
      <w:bookmarkStart w:id="60" w:name="_Toc9501"/>
      <w:r>
        <w:rPr>
          <w:rFonts w:hint="eastAsia" w:asciiTheme="minorEastAsia" w:hAnsiTheme="minorEastAsia" w:eastAsiaTheme="minorEastAsia" w:cstheme="minorEastAsia"/>
          <w:b/>
          <w:bCs/>
          <w:lang w:val="en-US"/>
        </w:rPr>
        <w:t>5</w:t>
      </w:r>
      <w:r>
        <w:rPr>
          <w:rFonts w:hint="eastAsia" w:asciiTheme="minorEastAsia" w:hAnsiTheme="minorEastAsia" w:eastAsiaTheme="minorEastAsia" w:cstheme="minorEastAsia"/>
          <w:b/>
          <w:bCs/>
        </w:rPr>
        <w:t>后期工作</w:t>
      </w:r>
      <w:bookmarkEnd w:id="60"/>
    </w:p>
    <w:p>
      <w:pPr>
        <w:pStyle w:val="8"/>
        <w:spacing w:line="360" w:lineRule="auto"/>
        <w:ind w:left="0"/>
        <w:outlineLvl w:val="1"/>
        <w:rPr>
          <w:rFonts w:asciiTheme="minorEastAsia" w:hAnsiTheme="minorEastAsia" w:eastAsiaTheme="minorEastAsia" w:cstheme="minorEastAsia"/>
          <w:b/>
          <w:bCs/>
          <w:sz w:val="28"/>
          <w:szCs w:val="28"/>
        </w:rPr>
      </w:pPr>
      <w:bookmarkStart w:id="61" w:name="_Toc13372"/>
      <w:r>
        <w:rPr>
          <w:rFonts w:hint="eastAsia" w:asciiTheme="minorEastAsia" w:hAnsiTheme="minorEastAsia" w:eastAsiaTheme="minorEastAsia" w:cstheme="minorEastAsia"/>
          <w:b/>
          <w:bCs/>
          <w:sz w:val="28"/>
          <w:szCs w:val="28"/>
          <w:lang w:val="en-US"/>
        </w:rPr>
        <w:t>5.1</w:t>
      </w:r>
      <w:r>
        <w:rPr>
          <w:rFonts w:hint="eastAsia" w:asciiTheme="minorEastAsia" w:hAnsiTheme="minorEastAsia" w:eastAsiaTheme="minorEastAsia" w:cstheme="minorEastAsia"/>
          <w:b/>
          <w:bCs/>
          <w:sz w:val="28"/>
          <w:szCs w:val="28"/>
        </w:rPr>
        <w:t>后期防控</w:t>
      </w:r>
      <w:bookmarkEnd w:id="61"/>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响应终止后，现场处置组对造成水源地突发环境事件的环境风险物质或污染物进行妥善处置，保证环境风险物质或污染物不会造成二次污染，包括对泄漏的油品、化学品等有害物质进行回收；事故场地及漫延区域的污染物清除完成后，对土壤或水生态系统进行修复；部分污染物导流到水源地下游或其他区域，对区域的污染物进行清除等。</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应急监测组负责组织后期污染监测；满月镇政府组织后期污染治理；应急处置组进行消除投放药剂的残留毒性和后期效应，防止次生突发环境事件。</w:t>
      </w:r>
    </w:p>
    <w:p>
      <w:pPr>
        <w:pStyle w:val="8"/>
        <w:spacing w:line="360" w:lineRule="auto"/>
        <w:ind w:left="0"/>
        <w:outlineLvl w:val="1"/>
        <w:rPr>
          <w:rFonts w:asciiTheme="minorEastAsia" w:hAnsiTheme="minorEastAsia" w:eastAsiaTheme="minorEastAsia" w:cstheme="minorEastAsia"/>
          <w:b/>
          <w:bCs/>
          <w:sz w:val="28"/>
          <w:szCs w:val="28"/>
        </w:rPr>
      </w:pPr>
      <w:bookmarkStart w:id="62" w:name="_Toc28411"/>
      <w:r>
        <w:rPr>
          <w:rFonts w:hint="eastAsia" w:asciiTheme="minorEastAsia" w:hAnsiTheme="minorEastAsia" w:eastAsiaTheme="minorEastAsia" w:cstheme="minorEastAsia"/>
          <w:b/>
          <w:bCs/>
          <w:sz w:val="28"/>
          <w:szCs w:val="28"/>
          <w:lang w:val="en-US"/>
        </w:rPr>
        <w:t>5.2</w:t>
      </w:r>
      <w:r>
        <w:rPr>
          <w:rFonts w:hint="eastAsia" w:asciiTheme="minorEastAsia" w:hAnsiTheme="minorEastAsia" w:eastAsiaTheme="minorEastAsia" w:cstheme="minorEastAsia"/>
          <w:b/>
          <w:bCs/>
          <w:sz w:val="28"/>
          <w:szCs w:val="28"/>
        </w:rPr>
        <w:t>事件调查</w:t>
      </w:r>
      <w:bookmarkEnd w:id="62"/>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根据事件调查的有关规定，一般应由镇政府指定部门牵头，有关部门配合，组织开展事件调查，查明事件原因和性质，提出整改防范措施和处理建议。事发相关单位或企业应积极整改，并形成整改反馈报告。</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较大或重大环境事件由区政府或区政府指定部门组织调查，镇政府有关部门配合。</w:t>
      </w:r>
    </w:p>
    <w:p>
      <w:pPr>
        <w:pStyle w:val="8"/>
        <w:spacing w:line="360" w:lineRule="auto"/>
        <w:ind w:left="0"/>
        <w:outlineLvl w:val="1"/>
        <w:rPr>
          <w:rFonts w:asciiTheme="minorEastAsia" w:hAnsiTheme="minorEastAsia" w:eastAsiaTheme="minorEastAsia" w:cstheme="minorEastAsia"/>
          <w:b/>
          <w:bCs/>
          <w:sz w:val="28"/>
          <w:szCs w:val="28"/>
          <w:lang w:val="en-US"/>
        </w:rPr>
      </w:pPr>
      <w:bookmarkStart w:id="63" w:name="_Toc4890"/>
      <w:r>
        <w:rPr>
          <w:rFonts w:hint="eastAsia" w:asciiTheme="minorEastAsia" w:hAnsiTheme="minorEastAsia" w:eastAsiaTheme="minorEastAsia" w:cstheme="minorEastAsia"/>
          <w:b/>
          <w:bCs/>
          <w:sz w:val="28"/>
          <w:szCs w:val="28"/>
          <w:lang w:val="en-US"/>
        </w:rPr>
        <w:t>5.3损害评估</w:t>
      </w:r>
      <w:bookmarkEnd w:id="63"/>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根据有关规定，镇水利服务中心督促造成水源地突发环境事件及污染的个人或单位及时组织开展污染损害评估，并将经评审后的评估结果向社会公布。</w:t>
      </w:r>
    </w:p>
    <w:p>
      <w:pPr>
        <w:pStyle w:val="8"/>
        <w:spacing w:line="360" w:lineRule="auto"/>
        <w:ind w:left="0"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rPr>
        <w:t>若造成水源地突发环境事件及污染的个人或单位不明确，应由事发地镇乡人民政府组织开展污染损害评估，并将经评审后的评估结果向社会公布</w:t>
      </w:r>
      <w:r>
        <w:rPr>
          <w:rFonts w:hint="eastAsia" w:asciiTheme="minorEastAsia" w:hAnsiTheme="minorEastAsia" w:eastAsiaTheme="minorEastAsia" w:cstheme="minorEastAsia"/>
          <w:sz w:val="28"/>
          <w:szCs w:val="28"/>
        </w:rPr>
        <w:t>。</w:t>
      </w:r>
    </w:p>
    <w:p>
      <w:pPr>
        <w:pStyle w:val="8"/>
        <w:spacing w:line="360" w:lineRule="auto"/>
        <w:ind w:left="0"/>
        <w:outlineLvl w:val="1"/>
        <w:rPr>
          <w:rFonts w:asciiTheme="minorEastAsia" w:hAnsiTheme="minorEastAsia" w:eastAsiaTheme="minorEastAsia" w:cstheme="minorEastAsia"/>
          <w:b/>
          <w:bCs/>
          <w:sz w:val="28"/>
          <w:szCs w:val="28"/>
          <w:lang w:val="en-US"/>
        </w:rPr>
      </w:pPr>
      <w:bookmarkStart w:id="64" w:name="_Toc17301"/>
      <w:r>
        <w:rPr>
          <w:rFonts w:hint="eastAsia" w:asciiTheme="minorEastAsia" w:hAnsiTheme="minorEastAsia" w:eastAsiaTheme="minorEastAsia" w:cstheme="minorEastAsia"/>
          <w:b/>
          <w:bCs/>
          <w:sz w:val="28"/>
          <w:szCs w:val="28"/>
          <w:lang w:val="en-US"/>
        </w:rPr>
        <w:t>5.4善后处置</w:t>
      </w:r>
      <w:bookmarkEnd w:id="64"/>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由事发地镇乡人民政府督促肇事单位按照政策规定，对事故伤亡人员给予赔付救治，对伤者及伤亡人员家属进行精神安抚；相关部门按照各自职责进行指导。按照国家规定组织制定补助、补偿、抚慰、抚恤、安置和环境恢复等善后工作方案，并按照法定程序实施。对紧急征用的物资和调集的社会力量按照有关规定予以结算和补偿。保险机构及时开展相关理赔工作。</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肇事单位必须对风险隐患进行整改，防止风险源再次引发水污染事件，对涉及的污染场地进行修复，满足相关要求，并对造成社会损害的进行依法赔偿。</w:t>
      </w:r>
    </w:p>
    <w:p>
      <w:pPr>
        <w:pStyle w:val="8"/>
        <w:spacing w:line="360" w:lineRule="auto"/>
        <w:ind w:left="0"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rPr>
        <w:br w:type="page"/>
      </w:r>
    </w:p>
    <w:p>
      <w:pPr>
        <w:pStyle w:val="8"/>
        <w:spacing w:line="360" w:lineRule="auto"/>
        <w:ind w:left="0"/>
        <w:outlineLvl w:val="0"/>
        <w:rPr>
          <w:rFonts w:asciiTheme="minorEastAsia" w:hAnsiTheme="minorEastAsia" w:eastAsiaTheme="minorEastAsia" w:cstheme="minorEastAsia"/>
          <w:b/>
          <w:bCs/>
        </w:rPr>
      </w:pPr>
      <w:bookmarkStart w:id="65" w:name="_Toc19921"/>
      <w:r>
        <w:rPr>
          <w:rFonts w:hint="eastAsia" w:asciiTheme="minorEastAsia" w:hAnsiTheme="minorEastAsia" w:eastAsiaTheme="minorEastAsia" w:cstheme="minorEastAsia"/>
          <w:b/>
          <w:bCs/>
          <w:lang w:val="en-US"/>
        </w:rPr>
        <w:t>6</w:t>
      </w:r>
      <w:r>
        <w:rPr>
          <w:rFonts w:hint="eastAsia" w:asciiTheme="minorEastAsia" w:hAnsiTheme="minorEastAsia" w:eastAsiaTheme="minorEastAsia" w:cstheme="minorEastAsia"/>
          <w:b/>
          <w:bCs/>
        </w:rPr>
        <w:t>应急保障</w:t>
      </w:r>
      <w:bookmarkEnd w:id="65"/>
    </w:p>
    <w:p>
      <w:pPr>
        <w:pStyle w:val="8"/>
        <w:spacing w:line="360" w:lineRule="auto"/>
        <w:ind w:left="0"/>
        <w:outlineLvl w:val="1"/>
        <w:rPr>
          <w:rFonts w:asciiTheme="minorEastAsia" w:hAnsiTheme="minorEastAsia" w:eastAsiaTheme="minorEastAsia" w:cstheme="minorEastAsia"/>
          <w:b/>
          <w:bCs/>
          <w:sz w:val="28"/>
          <w:szCs w:val="28"/>
        </w:rPr>
      </w:pPr>
      <w:bookmarkStart w:id="66" w:name="_Toc17801"/>
      <w:r>
        <w:rPr>
          <w:rFonts w:hint="eastAsia" w:asciiTheme="minorEastAsia" w:hAnsiTheme="minorEastAsia" w:eastAsiaTheme="minorEastAsia" w:cstheme="minorEastAsia"/>
          <w:b/>
          <w:bCs/>
          <w:sz w:val="28"/>
          <w:szCs w:val="28"/>
          <w:lang w:val="en-US"/>
        </w:rPr>
        <w:t>6.1</w:t>
      </w:r>
      <w:r>
        <w:rPr>
          <w:rFonts w:hint="eastAsia" w:asciiTheme="minorEastAsia" w:hAnsiTheme="minorEastAsia" w:eastAsiaTheme="minorEastAsia" w:cstheme="minorEastAsia"/>
          <w:b/>
          <w:bCs/>
          <w:sz w:val="28"/>
          <w:szCs w:val="28"/>
        </w:rPr>
        <w:t>通讯与信息保障</w:t>
      </w:r>
      <w:bookmarkEnd w:id="66"/>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镇政府及其通信主管部门要建立健全突发环境事件应急通信保障体系，确保应急期间通信联络和信息传递需要。参与应急处置指挥部的成员单位及应急处置单位，保持 24小时的通讯畅通。</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应急组织指挥机构的联络方式见附件二。</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sz w:val="28"/>
          <w:szCs w:val="28"/>
          <w:lang w:val="en-US"/>
        </w:rPr>
        <w:t>综合协调部按应急指挥部要求编制</w:t>
      </w:r>
      <w:r>
        <w:rPr>
          <w:rFonts w:hint="eastAsia" w:asciiTheme="minorEastAsia" w:hAnsiTheme="minorEastAsia" w:eastAsiaTheme="minorEastAsia" w:cstheme="minorEastAsia"/>
          <w:sz w:val="28"/>
          <w:szCs w:val="28"/>
          <w:lang w:val="en-US"/>
        </w:rPr>
        <w:t>，通过政府发布新闻通稿、举行新闻发布会等多种形式，对外发布事件信息及应急处置进展情况。</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外部应急救援机构通讯录，见附件三。</w:t>
      </w:r>
    </w:p>
    <w:p>
      <w:pPr>
        <w:pStyle w:val="8"/>
        <w:spacing w:line="360" w:lineRule="auto"/>
        <w:ind w:left="0"/>
        <w:outlineLvl w:val="1"/>
        <w:rPr>
          <w:rFonts w:asciiTheme="minorEastAsia" w:hAnsiTheme="minorEastAsia" w:eastAsiaTheme="minorEastAsia" w:cstheme="minorEastAsia"/>
          <w:b/>
          <w:bCs/>
          <w:sz w:val="28"/>
          <w:szCs w:val="28"/>
        </w:rPr>
      </w:pPr>
      <w:bookmarkStart w:id="67" w:name="_Toc7882"/>
      <w:r>
        <w:rPr>
          <w:rFonts w:hint="eastAsia" w:asciiTheme="minorEastAsia" w:hAnsiTheme="minorEastAsia" w:eastAsiaTheme="minorEastAsia" w:cstheme="minorEastAsia"/>
          <w:b/>
          <w:bCs/>
          <w:sz w:val="28"/>
          <w:szCs w:val="28"/>
          <w:lang w:val="en-US"/>
        </w:rPr>
        <w:t>6.2</w:t>
      </w:r>
      <w:r>
        <w:rPr>
          <w:rFonts w:hint="eastAsia" w:asciiTheme="minorEastAsia" w:hAnsiTheme="minorEastAsia" w:eastAsiaTheme="minorEastAsia" w:cstheme="minorEastAsia"/>
          <w:b/>
          <w:bCs/>
          <w:sz w:val="28"/>
          <w:szCs w:val="28"/>
        </w:rPr>
        <w:t>应急队伍保障</w:t>
      </w:r>
      <w:bookmarkEnd w:id="67"/>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坚持统筹规划、突出重点，整合现有资源，逐步加强和完善应急队伍建设，形成规模适度、管理规范的应急队伍体系。</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实行“政府领导、总队统筹、军地联动、条块结合、分级负责”的管理体制。应急指挥部成员单位应按照本部门、本单位职责，组建或指导所管辖的企事业单位组建相应的专兼职应急队伍，定期开展相关培训；当启动应急响应时，应急队伍应在现场应急指挥部的统筹安排下，根据各自职能相互配合，开展应急行动。</w:t>
      </w:r>
    </w:p>
    <w:p>
      <w:pPr>
        <w:pStyle w:val="8"/>
        <w:spacing w:line="360" w:lineRule="auto"/>
        <w:ind w:left="0"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rPr>
        <w:t>采用教学培训或实战演练作为应急预案培训方式，加强不同层面的预案演练培训工作，每年至少组织一次培训，培训内容可以包括信息报告、个体防护、应急资源使用、应急监测布点及监测方法、应急处置方法等培训科目。通过培训，不断提高全体人员的应急反映能力和救援能力</w:t>
      </w:r>
      <w:r>
        <w:rPr>
          <w:rFonts w:hint="eastAsia" w:asciiTheme="minorEastAsia" w:hAnsiTheme="minorEastAsia" w:eastAsiaTheme="minorEastAsia" w:cstheme="minorEastAsia"/>
          <w:sz w:val="28"/>
          <w:szCs w:val="28"/>
        </w:rPr>
        <w:t>。</w:t>
      </w:r>
    </w:p>
    <w:p>
      <w:pPr>
        <w:pStyle w:val="8"/>
        <w:spacing w:line="360" w:lineRule="auto"/>
        <w:ind w:left="0"/>
        <w:outlineLvl w:val="1"/>
        <w:rPr>
          <w:rFonts w:asciiTheme="minorEastAsia" w:hAnsiTheme="minorEastAsia" w:eastAsiaTheme="minorEastAsia" w:cstheme="minorEastAsia"/>
          <w:b/>
          <w:bCs/>
          <w:sz w:val="28"/>
          <w:szCs w:val="28"/>
          <w:lang w:val="en-US"/>
        </w:rPr>
      </w:pPr>
      <w:bookmarkStart w:id="68" w:name="_Toc1724"/>
      <w:r>
        <w:rPr>
          <w:rFonts w:hint="eastAsia" w:asciiTheme="minorEastAsia" w:hAnsiTheme="minorEastAsia" w:eastAsiaTheme="minorEastAsia" w:cstheme="minorEastAsia"/>
          <w:b/>
          <w:bCs/>
          <w:sz w:val="28"/>
          <w:szCs w:val="28"/>
          <w:lang w:val="en-US"/>
        </w:rPr>
        <w:t>6.3应急资源保障</w:t>
      </w:r>
      <w:bookmarkEnd w:id="68"/>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涉及保护饮用水水源地镇乡人民政府有关部门应常年储备有应急物资、设备（包括药剂、物资、装备和设施）定期进行检查，维护，持续改进提高药剂、物资、装备的存放规范、应急设施的建设要求，确保事件发生时能够快速高效的使用应急资源。</w:t>
      </w:r>
    </w:p>
    <w:p>
      <w:pPr>
        <w:pStyle w:val="8"/>
        <w:spacing w:line="360" w:lineRule="auto"/>
        <w:ind w:left="0"/>
        <w:outlineLvl w:val="1"/>
        <w:rPr>
          <w:rFonts w:asciiTheme="minorEastAsia" w:hAnsiTheme="minorEastAsia" w:eastAsiaTheme="minorEastAsia" w:cstheme="minorEastAsia"/>
          <w:b/>
          <w:bCs/>
          <w:sz w:val="28"/>
          <w:szCs w:val="28"/>
          <w:lang w:val="en-US"/>
        </w:rPr>
      </w:pPr>
      <w:bookmarkStart w:id="69" w:name="_Toc5363"/>
      <w:r>
        <w:rPr>
          <w:rFonts w:hint="eastAsia" w:asciiTheme="minorEastAsia" w:hAnsiTheme="minorEastAsia" w:eastAsiaTheme="minorEastAsia" w:cstheme="minorEastAsia"/>
          <w:b/>
          <w:bCs/>
          <w:sz w:val="28"/>
          <w:szCs w:val="28"/>
          <w:lang w:val="en-US"/>
        </w:rPr>
        <w:t>6.4经费保障</w:t>
      </w:r>
      <w:bookmarkEnd w:id="69"/>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满月镇人民政府每年应安排一定的专项资金，用于本单位、本辖区水源地突发事件的防范和应急处置。应急管理部门预算、应急物资采购费用列入年度预算予以保障；应急处置结束后，据实核销应急处置费用；加强应急工作经费的审计和监督管理，确保专款专用等。</w:t>
      </w:r>
    </w:p>
    <w:p>
      <w:pPr>
        <w:pStyle w:val="8"/>
        <w:spacing w:line="360" w:lineRule="auto"/>
        <w:ind w:left="0"/>
        <w:outlineLvl w:val="1"/>
        <w:rPr>
          <w:rFonts w:asciiTheme="minorEastAsia" w:hAnsiTheme="minorEastAsia" w:eastAsiaTheme="minorEastAsia" w:cstheme="minorEastAsia"/>
          <w:b/>
          <w:bCs/>
          <w:sz w:val="28"/>
          <w:szCs w:val="28"/>
          <w:lang w:val="en-US"/>
        </w:rPr>
      </w:pPr>
      <w:bookmarkStart w:id="70" w:name="_Toc29850"/>
      <w:r>
        <w:rPr>
          <w:rFonts w:hint="eastAsia" w:asciiTheme="minorEastAsia" w:hAnsiTheme="minorEastAsia" w:eastAsiaTheme="minorEastAsia" w:cstheme="minorEastAsia"/>
          <w:b/>
          <w:bCs/>
          <w:sz w:val="28"/>
          <w:szCs w:val="28"/>
          <w:lang w:val="en-US"/>
        </w:rPr>
        <w:t>6.5其他保障</w:t>
      </w:r>
      <w:bookmarkEnd w:id="70"/>
    </w:p>
    <w:p>
      <w:pPr>
        <w:pStyle w:val="8"/>
        <w:spacing w:line="360" w:lineRule="auto"/>
        <w:ind w:left="0"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rPr>
        <w:t>要为应急救援人员及物资运输提供交通方便，保证紧急情况下应急交通工具的优先安排、优先调度、优先放行，并负责对事故现场道路交通实行管制，必要时开设应急救援“绿色通道”；交通干线及有关设施被毁坏时，协调有关部门和单位迅速组织抢修或架设临时通道，保障交通路线的畅通，确保救灾物资和人员能够及时安全运达，满足应急救援工作需要。</w:t>
      </w:r>
    </w:p>
    <w:p>
      <w:pPr>
        <w:pStyle w:val="8"/>
        <w:spacing w:line="360" w:lineRule="auto"/>
        <w:ind w:left="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br w:type="page"/>
      </w:r>
    </w:p>
    <w:p>
      <w:pPr>
        <w:pStyle w:val="8"/>
        <w:spacing w:line="360" w:lineRule="auto"/>
        <w:ind w:left="0"/>
        <w:outlineLvl w:val="0"/>
        <w:rPr>
          <w:rFonts w:asciiTheme="minorEastAsia" w:hAnsiTheme="minorEastAsia" w:eastAsiaTheme="minorEastAsia" w:cstheme="minorEastAsia"/>
          <w:b/>
          <w:bCs/>
        </w:rPr>
      </w:pPr>
      <w:bookmarkStart w:id="71" w:name="_Toc24946"/>
      <w:r>
        <w:rPr>
          <w:rFonts w:hint="eastAsia" w:asciiTheme="minorEastAsia" w:hAnsiTheme="minorEastAsia" w:eastAsiaTheme="minorEastAsia" w:cstheme="minorEastAsia"/>
          <w:b/>
          <w:bCs/>
          <w:lang w:val="en-US"/>
        </w:rPr>
        <w:t>7</w:t>
      </w:r>
      <w:r>
        <w:rPr>
          <w:rFonts w:hint="eastAsia" w:asciiTheme="minorEastAsia" w:hAnsiTheme="minorEastAsia" w:eastAsiaTheme="minorEastAsia" w:cstheme="minorEastAsia"/>
          <w:b/>
          <w:bCs/>
        </w:rPr>
        <w:t>附则</w:t>
      </w:r>
      <w:bookmarkEnd w:id="71"/>
    </w:p>
    <w:p>
      <w:pPr>
        <w:pStyle w:val="8"/>
        <w:spacing w:line="360" w:lineRule="auto"/>
        <w:ind w:left="0"/>
        <w:outlineLvl w:val="1"/>
        <w:rPr>
          <w:rFonts w:asciiTheme="minorEastAsia" w:hAnsiTheme="minorEastAsia" w:eastAsiaTheme="minorEastAsia" w:cstheme="minorEastAsia"/>
          <w:b/>
          <w:bCs/>
          <w:sz w:val="28"/>
          <w:szCs w:val="28"/>
        </w:rPr>
      </w:pPr>
      <w:bookmarkStart w:id="72" w:name="_Toc14189"/>
      <w:r>
        <w:rPr>
          <w:rFonts w:hint="eastAsia" w:asciiTheme="minorEastAsia" w:hAnsiTheme="minorEastAsia" w:eastAsiaTheme="minorEastAsia" w:cstheme="minorEastAsia"/>
          <w:b/>
          <w:bCs/>
          <w:sz w:val="28"/>
          <w:szCs w:val="28"/>
          <w:lang w:val="en-US"/>
        </w:rPr>
        <w:t>7.1</w:t>
      </w:r>
      <w:r>
        <w:rPr>
          <w:rFonts w:hint="eastAsia" w:asciiTheme="minorEastAsia" w:hAnsiTheme="minorEastAsia" w:eastAsiaTheme="minorEastAsia" w:cstheme="minorEastAsia"/>
          <w:b/>
          <w:bCs/>
          <w:sz w:val="28"/>
          <w:szCs w:val="28"/>
        </w:rPr>
        <w:t>名词术语</w:t>
      </w:r>
      <w:bookmarkEnd w:id="72"/>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1）</w:t>
      </w:r>
      <w:r>
        <w:rPr>
          <w:rFonts w:hint="eastAsia" w:asciiTheme="minorEastAsia" w:hAnsiTheme="minorEastAsia" w:eastAsiaTheme="minorEastAsia" w:cstheme="minorEastAsia"/>
          <w:sz w:val="28"/>
          <w:szCs w:val="28"/>
        </w:rPr>
        <w:t>饮</w:t>
      </w:r>
      <w:r>
        <w:rPr>
          <w:rFonts w:hint="eastAsia" w:asciiTheme="minorEastAsia" w:hAnsiTheme="minorEastAsia" w:eastAsiaTheme="minorEastAsia" w:cstheme="minorEastAsia"/>
          <w:sz w:val="28"/>
          <w:szCs w:val="28"/>
          <w:lang w:val="en-US"/>
        </w:rPr>
        <w:t>用水水源保护区</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指国家为防治饮用水水源地污染、保障水源地环境质量而划定，并要求加以特殊保护的一定面积的水域和陆域。饮用水水源保护区分为二级保护区，必要时可在水源保护区外划定准保护区。</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2）地表水饮用水水源地风险物质</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rPr>
        <w:t>指《地表水环境质量标准》（GB3838-2002）中表 1、表 2 和表 3 所包含的项目与物质，以及该标准之外其他可能影响人体健康的项目与物质。</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3）饮用水水源地突发环境事件</w:t>
      </w:r>
    </w:p>
    <w:p>
      <w:pPr>
        <w:pStyle w:val="8"/>
        <w:spacing w:line="360" w:lineRule="auto"/>
        <w:ind w:left="0"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指由于污染物排放或自然灾害、生产安全事故、交通运输事故等因素，导致水源地风险物质进入水源保护区或其上游的连接水体，突然造成或可能造成水源地水质超标，影响或可能影响饮用水供水单位正常取水，危及公众身体健康和财产安全，需要采取紧急措施予以应对的事件。</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4）水质超标</w:t>
      </w:r>
    </w:p>
    <w:p>
      <w:pPr>
        <w:pStyle w:val="8"/>
        <w:spacing w:line="360" w:lineRule="auto"/>
        <w:ind w:left="0"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指水源地水质超过《地表水环境质量标准》（GB3838-2002）、</w:t>
      </w:r>
    </w:p>
    <w:p>
      <w:pPr>
        <w:pStyle w:val="8"/>
        <w:spacing w:line="360" w:lineRule="auto"/>
        <w:ind w:left="0"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《地下水质量标准》（GB/T14848-2017）规定的Ⅲ类水质标准或标准限值的要求。</w:t>
      </w:r>
    </w:p>
    <w:p>
      <w:pPr>
        <w:pStyle w:val="8"/>
        <w:spacing w:line="360" w:lineRule="auto"/>
        <w:ind w:left="0"/>
        <w:outlineLvl w:val="1"/>
        <w:rPr>
          <w:rFonts w:asciiTheme="minorEastAsia" w:hAnsiTheme="minorEastAsia" w:eastAsiaTheme="minorEastAsia" w:cstheme="minorEastAsia"/>
          <w:b/>
          <w:bCs/>
          <w:sz w:val="28"/>
          <w:szCs w:val="28"/>
        </w:rPr>
      </w:pPr>
      <w:bookmarkStart w:id="73" w:name="_Toc24613"/>
      <w:r>
        <w:rPr>
          <w:rFonts w:hint="eastAsia" w:asciiTheme="minorEastAsia" w:hAnsiTheme="minorEastAsia" w:eastAsiaTheme="minorEastAsia" w:cstheme="minorEastAsia"/>
          <w:b/>
          <w:bCs/>
          <w:sz w:val="28"/>
          <w:szCs w:val="28"/>
          <w:lang w:val="en-US"/>
        </w:rPr>
        <w:t>7.2</w:t>
      </w:r>
      <w:r>
        <w:rPr>
          <w:rFonts w:hint="eastAsia" w:asciiTheme="minorEastAsia" w:hAnsiTheme="minorEastAsia" w:eastAsiaTheme="minorEastAsia" w:cstheme="minorEastAsia"/>
          <w:b/>
          <w:bCs/>
          <w:sz w:val="28"/>
          <w:szCs w:val="28"/>
        </w:rPr>
        <w:t>预案解释权属</w:t>
      </w:r>
      <w:bookmarkEnd w:id="73"/>
    </w:p>
    <w:p>
      <w:pPr>
        <w:pStyle w:val="8"/>
        <w:spacing w:line="360" w:lineRule="auto"/>
        <w:ind w:left="0"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重庆市开州区</w:t>
      </w:r>
      <w:r>
        <w:rPr>
          <w:rFonts w:hint="eastAsia" w:asciiTheme="minorEastAsia" w:hAnsiTheme="minorEastAsia" w:eastAsiaTheme="minorEastAsia" w:cstheme="minorEastAsia"/>
          <w:sz w:val="28"/>
          <w:szCs w:val="28"/>
          <w:lang w:val="en-US"/>
        </w:rPr>
        <w:t>满月镇</w:t>
      </w:r>
      <w:r>
        <w:rPr>
          <w:rFonts w:hint="eastAsia" w:asciiTheme="minorEastAsia" w:hAnsiTheme="minorEastAsia" w:eastAsiaTheme="minorEastAsia" w:cstheme="minorEastAsia"/>
          <w:sz w:val="28"/>
          <w:szCs w:val="28"/>
        </w:rPr>
        <w:t>饮用水水源地突发环境事件应急预案的解释权归属开州区</w:t>
      </w:r>
      <w:r>
        <w:rPr>
          <w:rFonts w:hint="eastAsia" w:asciiTheme="minorEastAsia" w:hAnsiTheme="minorEastAsia" w:eastAsiaTheme="minorEastAsia" w:cstheme="minorEastAsia"/>
          <w:sz w:val="28"/>
          <w:szCs w:val="28"/>
          <w:lang w:val="en-US"/>
        </w:rPr>
        <w:t>满月镇人民政府</w:t>
      </w:r>
      <w:r>
        <w:rPr>
          <w:rFonts w:hint="eastAsia" w:asciiTheme="minorEastAsia" w:hAnsiTheme="minorEastAsia" w:eastAsiaTheme="minorEastAsia" w:cstheme="minorEastAsia"/>
          <w:sz w:val="28"/>
          <w:szCs w:val="28"/>
        </w:rPr>
        <w:t>。</w:t>
      </w:r>
    </w:p>
    <w:p>
      <w:pPr>
        <w:pStyle w:val="8"/>
        <w:spacing w:line="360" w:lineRule="auto"/>
        <w:ind w:left="0"/>
        <w:outlineLvl w:val="1"/>
        <w:rPr>
          <w:rFonts w:asciiTheme="minorEastAsia" w:hAnsiTheme="minorEastAsia" w:eastAsiaTheme="minorEastAsia" w:cstheme="minorEastAsia"/>
          <w:b/>
          <w:bCs/>
          <w:sz w:val="28"/>
          <w:szCs w:val="28"/>
          <w:lang w:val="en-US"/>
        </w:rPr>
      </w:pPr>
      <w:bookmarkStart w:id="74" w:name="_Toc9586"/>
      <w:r>
        <w:rPr>
          <w:rFonts w:hint="eastAsia" w:asciiTheme="minorEastAsia" w:hAnsiTheme="minorEastAsia" w:eastAsiaTheme="minorEastAsia" w:cstheme="minorEastAsia"/>
          <w:b/>
          <w:bCs/>
          <w:sz w:val="28"/>
          <w:szCs w:val="28"/>
          <w:lang w:val="en-US"/>
        </w:rPr>
        <w:t>7.3预案演练和修订</w:t>
      </w:r>
      <w:bookmarkEnd w:id="74"/>
    </w:p>
    <w:p>
      <w:pPr>
        <w:pStyle w:val="8"/>
        <w:spacing w:line="360" w:lineRule="auto"/>
        <w:ind w:left="0"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应急指挥部办公室每年开展一次水源地突发环境事件应急处置演练。</w:t>
      </w:r>
      <w:r>
        <w:rPr>
          <w:rFonts w:hint="eastAsia" w:asciiTheme="minorEastAsia" w:hAnsiTheme="minorEastAsia" w:eastAsiaTheme="minorEastAsia" w:cstheme="minorEastAsia"/>
          <w:sz w:val="28"/>
          <w:szCs w:val="28"/>
          <w:lang w:val="en-US"/>
        </w:rPr>
        <w:t>定时组织供管水有关人员学习人员学习现行生活饮用水有关法律法规、标准规范及有关卫生要求，使其知法、懂法、自觉守法，不断增强依法供水、管水的法制观念和责任意识，按要求履行其职责及义务，保证所供给的生活饮水卫生质量；同时进行生活饮用水污染事故应急处理及救援知识专门培训和教育，增强水污染事故防范意识和应对能力，并开展应急演练，</w:t>
      </w:r>
      <w:r>
        <w:rPr>
          <w:rFonts w:hint="eastAsia" w:asciiTheme="minorEastAsia" w:hAnsiTheme="minorEastAsia" w:eastAsiaTheme="minorEastAsia" w:cstheme="minorEastAsia"/>
          <w:sz w:val="28"/>
          <w:szCs w:val="28"/>
        </w:rPr>
        <w:t>演练内容包括通讯系统是否正常运作、信息报送流程是否畅通、各应急工作组配合是否协调、应急人员能力是否满足需要等。演练结束后，应对演练情况进行总结评估，并根据演练结果及时修订完善。</w:t>
      </w:r>
    </w:p>
    <w:p>
      <w:pPr>
        <w:pStyle w:val="8"/>
        <w:spacing w:line="360" w:lineRule="auto"/>
        <w:ind w:left="0"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本预案原则上每</w:t>
      </w:r>
      <w:r>
        <w:rPr>
          <w:rFonts w:hint="eastAsia" w:asciiTheme="minorEastAsia" w:hAnsiTheme="minorEastAsia" w:eastAsiaTheme="minorEastAsia" w:cstheme="minorEastAsia"/>
          <w:sz w:val="28"/>
          <w:szCs w:val="28"/>
          <w:lang w:val="en-US"/>
        </w:rPr>
        <w:t>三</w:t>
      </w:r>
      <w:r>
        <w:rPr>
          <w:rFonts w:hint="eastAsia" w:asciiTheme="minorEastAsia" w:hAnsiTheme="minorEastAsia" w:eastAsiaTheme="minorEastAsia" w:cstheme="minorEastAsia"/>
          <w:sz w:val="28"/>
          <w:szCs w:val="28"/>
        </w:rPr>
        <w:t>年修订一次，但若在演练中存在重大偏差和缺陷，存在较大的不适应，预案所依据的法律法规、所涉及的机构和人员发生重大变化，或在执行中有新的情况，应及时对应急预案进行修订，修订完善后的应急预案应及时发至相关部门。</w:t>
      </w:r>
    </w:p>
    <w:p>
      <w:pPr>
        <w:pStyle w:val="8"/>
        <w:spacing w:line="360" w:lineRule="auto"/>
        <w:ind w:left="0"/>
        <w:outlineLvl w:val="1"/>
        <w:rPr>
          <w:rFonts w:asciiTheme="minorEastAsia" w:hAnsiTheme="minorEastAsia" w:eastAsiaTheme="minorEastAsia" w:cstheme="minorEastAsia"/>
          <w:b/>
          <w:bCs/>
          <w:sz w:val="28"/>
          <w:szCs w:val="28"/>
          <w:lang w:val="en-US"/>
        </w:rPr>
      </w:pPr>
      <w:bookmarkStart w:id="75" w:name="_Toc6367"/>
      <w:r>
        <w:rPr>
          <w:rFonts w:hint="eastAsia" w:asciiTheme="minorEastAsia" w:hAnsiTheme="minorEastAsia" w:eastAsiaTheme="minorEastAsia" w:cstheme="minorEastAsia"/>
          <w:b/>
          <w:bCs/>
          <w:sz w:val="28"/>
          <w:szCs w:val="28"/>
          <w:lang w:val="en-US"/>
        </w:rPr>
        <w:t>7.4预案实施日期</w:t>
      </w:r>
      <w:bookmarkEnd w:id="75"/>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本预案自公布之日起施行。</w:t>
      </w:r>
    </w:p>
    <w:p>
      <w:pPr>
        <w:pStyle w:val="8"/>
        <w:spacing w:line="360" w:lineRule="auto"/>
        <w:ind w:left="0"/>
        <w:rPr>
          <w:rFonts w:asciiTheme="minorEastAsia" w:hAnsiTheme="minorEastAsia" w:eastAsiaTheme="minorEastAsia" w:cstheme="minorEastAsia"/>
          <w:sz w:val="28"/>
          <w:szCs w:val="28"/>
          <w:lang w:val="en-US"/>
        </w:rPr>
      </w:pPr>
    </w:p>
    <w:p>
      <w:pPr>
        <w:pStyle w:val="8"/>
        <w:spacing w:line="360" w:lineRule="auto"/>
        <w:ind w:left="0"/>
        <w:rPr>
          <w:rFonts w:asciiTheme="minorEastAsia" w:hAnsiTheme="minorEastAsia" w:eastAsiaTheme="minorEastAsia" w:cstheme="minorEastAsia"/>
          <w:sz w:val="28"/>
          <w:szCs w:val="28"/>
        </w:rPr>
      </w:pPr>
    </w:p>
    <w:p>
      <w:pPr>
        <w:pStyle w:val="8"/>
        <w:spacing w:line="360" w:lineRule="auto"/>
        <w:ind w:left="0"/>
        <w:rPr>
          <w:rFonts w:asciiTheme="minorEastAsia" w:hAnsiTheme="minorEastAsia" w:eastAsiaTheme="minorEastAsia" w:cstheme="minorEastAsia"/>
          <w:sz w:val="28"/>
          <w:szCs w:val="28"/>
        </w:rPr>
      </w:pPr>
    </w:p>
    <w:p>
      <w:pPr>
        <w:pStyle w:val="8"/>
        <w:spacing w:line="360" w:lineRule="auto"/>
        <w:ind w:left="0"/>
        <w:rPr>
          <w:rFonts w:asciiTheme="minorEastAsia" w:hAnsiTheme="minorEastAsia" w:eastAsiaTheme="minorEastAsia" w:cstheme="minorEastAsia"/>
          <w:sz w:val="28"/>
          <w:szCs w:val="28"/>
        </w:rPr>
      </w:pPr>
    </w:p>
    <w:p>
      <w:pPr>
        <w:pStyle w:val="8"/>
        <w:spacing w:line="360" w:lineRule="auto"/>
        <w:ind w:left="0"/>
        <w:rPr>
          <w:rFonts w:asciiTheme="minorEastAsia" w:hAnsiTheme="minorEastAsia" w:eastAsiaTheme="minorEastAsia" w:cstheme="minorEastAsia"/>
          <w:sz w:val="28"/>
          <w:szCs w:val="28"/>
          <w:lang w:val="en-US"/>
        </w:rPr>
      </w:pPr>
    </w:p>
    <w:p>
      <w:pPr>
        <w:pStyle w:val="8"/>
        <w:spacing w:line="360" w:lineRule="auto"/>
        <w:ind w:left="0"/>
        <w:outlineLvl w:val="0"/>
        <w:rPr>
          <w:rFonts w:asciiTheme="minorEastAsia" w:hAnsiTheme="minorEastAsia" w:eastAsiaTheme="minorEastAsia" w:cstheme="minorEastAsia"/>
          <w:b/>
          <w:bCs/>
          <w:lang w:val="en-US"/>
        </w:rPr>
      </w:pPr>
      <w:bookmarkStart w:id="76" w:name="_Toc12178"/>
      <w:r>
        <w:rPr>
          <w:rFonts w:hint="eastAsia" w:asciiTheme="minorEastAsia" w:hAnsiTheme="minorEastAsia" w:eastAsiaTheme="minorEastAsia" w:cstheme="minorEastAsia"/>
          <w:b/>
          <w:bCs/>
          <w:lang w:val="en-US"/>
        </w:rPr>
        <w:t>附件及附图</w:t>
      </w:r>
      <w:bookmarkEnd w:id="76"/>
    </w:p>
    <w:p>
      <w:pPr>
        <w:pStyle w:val="8"/>
        <w:spacing w:line="360" w:lineRule="auto"/>
        <w:ind w:left="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附件</w:t>
      </w:r>
      <w:r>
        <w:rPr>
          <w:rFonts w:hint="eastAsia" w:asciiTheme="minorEastAsia" w:hAnsiTheme="minorEastAsia" w:eastAsiaTheme="minorEastAsia" w:cstheme="minorEastAsia"/>
          <w:sz w:val="28"/>
          <w:szCs w:val="28"/>
          <w:lang w:val="en-US"/>
        </w:rPr>
        <w:t>一</w:t>
      </w:r>
      <w:r>
        <w:rPr>
          <w:rFonts w:hint="eastAsia" w:asciiTheme="minorEastAsia" w:hAnsiTheme="minorEastAsia" w:eastAsiaTheme="minorEastAsia" w:cstheme="minorEastAsia"/>
          <w:sz w:val="28"/>
          <w:szCs w:val="28"/>
        </w:rPr>
        <w:t>：饮用水水源地突发环境事件分级标准</w:t>
      </w:r>
    </w:p>
    <w:p>
      <w:pPr>
        <w:pStyle w:val="8"/>
        <w:spacing w:line="360" w:lineRule="auto"/>
        <w:ind w:left="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rPr>
        <w:t>附件二：</w:t>
      </w:r>
      <w:r>
        <w:rPr>
          <w:rFonts w:hint="eastAsia" w:asciiTheme="minorEastAsia" w:hAnsiTheme="minorEastAsia" w:eastAsiaTheme="minorEastAsia" w:cstheme="minorEastAsia"/>
          <w:sz w:val="28"/>
          <w:szCs w:val="28"/>
        </w:rPr>
        <w:t>应急组织机构联络方式</w:t>
      </w:r>
    </w:p>
    <w:p>
      <w:pPr>
        <w:pStyle w:val="8"/>
        <w:spacing w:line="360" w:lineRule="auto"/>
        <w:ind w:left="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附件三：外部救援机构联系电话</w:t>
      </w:r>
    </w:p>
    <w:p>
      <w:pPr>
        <w:pStyle w:val="8"/>
        <w:spacing w:line="360" w:lineRule="auto"/>
        <w:ind w:left="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附件</w:t>
      </w:r>
      <w:r>
        <w:rPr>
          <w:rFonts w:hint="eastAsia" w:asciiTheme="minorEastAsia" w:hAnsiTheme="minorEastAsia" w:eastAsiaTheme="minorEastAsia" w:cstheme="minorEastAsia"/>
          <w:sz w:val="28"/>
          <w:szCs w:val="28"/>
          <w:lang w:val="en-US"/>
        </w:rPr>
        <w:t>四：</w:t>
      </w:r>
      <w:r>
        <w:rPr>
          <w:rFonts w:hint="eastAsia" w:asciiTheme="minorEastAsia" w:hAnsiTheme="minorEastAsia" w:eastAsiaTheme="minorEastAsia" w:cstheme="minorEastAsia"/>
          <w:sz w:val="28"/>
          <w:szCs w:val="28"/>
        </w:rPr>
        <w:t>应急救援物资一览表</w:t>
      </w:r>
    </w:p>
    <w:p>
      <w:pPr>
        <w:pStyle w:val="8"/>
        <w:spacing w:line="360" w:lineRule="auto"/>
        <w:ind w:left="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附</w:t>
      </w:r>
      <w:r>
        <w:rPr>
          <w:rFonts w:hint="eastAsia" w:asciiTheme="minorEastAsia" w:hAnsiTheme="minorEastAsia" w:eastAsiaTheme="minorEastAsia" w:cstheme="minorEastAsia"/>
          <w:sz w:val="28"/>
          <w:szCs w:val="28"/>
          <w:lang w:val="en-US"/>
        </w:rPr>
        <w:t>图一：</w:t>
      </w:r>
      <w:r>
        <w:rPr>
          <w:rFonts w:hint="eastAsia" w:asciiTheme="minorEastAsia" w:hAnsiTheme="minorEastAsia" w:eastAsiaTheme="minorEastAsia" w:cstheme="minorEastAsia"/>
          <w:sz w:val="28"/>
          <w:szCs w:val="28"/>
        </w:rPr>
        <w:t>开州区</w:t>
      </w:r>
      <w:r>
        <w:rPr>
          <w:rFonts w:hint="eastAsia" w:asciiTheme="minorEastAsia" w:hAnsiTheme="minorEastAsia" w:eastAsiaTheme="minorEastAsia" w:cstheme="minorEastAsia"/>
          <w:sz w:val="28"/>
          <w:szCs w:val="28"/>
          <w:lang w:val="en-US"/>
        </w:rPr>
        <w:t>满月镇</w:t>
      </w:r>
      <w:r>
        <w:rPr>
          <w:rFonts w:hint="eastAsia" w:asciiTheme="minorEastAsia" w:hAnsiTheme="minorEastAsia" w:eastAsiaTheme="minorEastAsia" w:cstheme="minorEastAsia"/>
          <w:sz w:val="28"/>
          <w:szCs w:val="28"/>
        </w:rPr>
        <w:t>集中式地表水饮用水水源地地理位置图</w:t>
      </w:r>
    </w:p>
    <w:p>
      <w:pPr>
        <w:pStyle w:val="8"/>
        <w:spacing w:line="360" w:lineRule="auto"/>
        <w:ind w:left="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rPr>
        <w:t>附</w:t>
      </w:r>
      <w:r>
        <w:rPr>
          <w:rFonts w:hint="eastAsia" w:asciiTheme="minorEastAsia" w:hAnsiTheme="minorEastAsia" w:eastAsiaTheme="minorEastAsia" w:cstheme="minorEastAsia"/>
          <w:sz w:val="28"/>
          <w:szCs w:val="28"/>
          <w:lang w:val="en-US"/>
        </w:rPr>
        <w:t>图二：</w:t>
      </w:r>
      <w:r>
        <w:rPr>
          <w:rFonts w:hint="eastAsia" w:asciiTheme="minorEastAsia" w:hAnsiTheme="minorEastAsia" w:eastAsiaTheme="minorEastAsia" w:cstheme="minorEastAsia"/>
          <w:sz w:val="28"/>
          <w:szCs w:val="28"/>
        </w:rPr>
        <w:t>开州区</w:t>
      </w:r>
      <w:r>
        <w:rPr>
          <w:rFonts w:hint="eastAsia" w:asciiTheme="minorEastAsia" w:hAnsiTheme="minorEastAsia" w:eastAsiaTheme="minorEastAsia" w:cstheme="minorEastAsia"/>
          <w:sz w:val="28"/>
          <w:szCs w:val="28"/>
          <w:lang w:val="en-US"/>
        </w:rPr>
        <w:t>满月镇</w:t>
      </w:r>
      <w:r>
        <w:rPr>
          <w:rFonts w:hint="eastAsia" w:asciiTheme="minorEastAsia" w:hAnsiTheme="minorEastAsia" w:eastAsiaTheme="minorEastAsia" w:cstheme="minorEastAsia"/>
          <w:sz w:val="28"/>
          <w:szCs w:val="28"/>
        </w:rPr>
        <w:t>集中式地表水饮用水水源地</w:t>
      </w:r>
      <w:r>
        <w:rPr>
          <w:rFonts w:hint="eastAsia" w:asciiTheme="minorEastAsia" w:hAnsiTheme="minorEastAsia" w:eastAsiaTheme="minorEastAsia" w:cstheme="minorEastAsia"/>
          <w:sz w:val="28"/>
          <w:szCs w:val="28"/>
          <w:lang w:val="en-US"/>
        </w:rPr>
        <w:t>保护区域范围图</w:t>
      </w:r>
    </w:p>
    <w:p>
      <w:pPr>
        <w:pStyle w:val="8"/>
        <w:spacing w:line="360" w:lineRule="auto"/>
        <w:ind w:left="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附图三：开州区满月镇供水区域图</w:t>
      </w:r>
    </w:p>
    <w:p>
      <w:pPr>
        <w:pStyle w:val="8"/>
        <w:spacing w:line="360" w:lineRule="auto"/>
        <w:ind w:left="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附图四：开州区水系图</w:t>
      </w:r>
    </w:p>
    <w:p>
      <w:pPr>
        <w:pStyle w:val="8"/>
        <w:spacing w:line="360" w:lineRule="auto"/>
        <w:ind w:left="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附图五：开州区地图</w:t>
      </w:r>
    </w:p>
    <w:p>
      <w:pPr>
        <w:pStyle w:val="8"/>
        <w:spacing w:line="360" w:lineRule="auto"/>
        <w:ind w:left="0"/>
        <w:rPr>
          <w:rFonts w:asciiTheme="minorEastAsia" w:hAnsiTheme="minorEastAsia" w:eastAsiaTheme="minorEastAsia" w:cstheme="minorEastAsia"/>
          <w:sz w:val="28"/>
          <w:szCs w:val="28"/>
          <w:lang w:val="en-US"/>
        </w:rPr>
      </w:pPr>
    </w:p>
    <w:p>
      <w:pPr>
        <w:pStyle w:val="8"/>
        <w:spacing w:line="360" w:lineRule="auto"/>
        <w:ind w:left="0"/>
        <w:rPr>
          <w:rFonts w:asciiTheme="minorEastAsia" w:hAnsiTheme="minorEastAsia" w:eastAsiaTheme="minorEastAsia" w:cstheme="minorEastAsia"/>
          <w:sz w:val="28"/>
          <w:szCs w:val="28"/>
        </w:rPr>
      </w:pPr>
    </w:p>
    <w:p>
      <w:pPr>
        <w:pStyle w:val="8"/>
        <w:spacing w:line="360" w:lineRule="auto"/>
        <w:ind w:left="0"/>
        <w:rPr>
          <w:rFonts w:asciiTheme="minorEastAsia" w:hAnsiTheme="minorEastAsia" w:eastAsiaTheme="minorEastAsia" w:cstheme="minorEastAsia"/>
          <w:sz w:val="28"/>
          <w:szCs w:val="28"/>
        </w:rPr>
      </w:pPr>
    </w:p>
    <w:p>
      <w:pPr>
        <w:pStyle w:val="8"/>
        <w:spacing w:line="360" w:lineRule="auto"/>
        <w:ind w:left="0"/>
        <w:rPr>
          <w:rFonts w:asciiTheme="minorEastAsia" w:hAnsiTheme="minorEastAsia" w:eastAsiaTheme="minorEastAsia" w:cstheme="minorEastAsia"/>
          <w:sz w:val="28"/>
          <w:szCs w:val="28"/>
          <w:lang w:val="en-US"/>
        </w:rPr>
        <w:sectPr>
          <w:headerReference r:id="rId7" w:type="default"/>
          <w:footerReference r:id="rId8" w:type="default"/>
          <w:pgSz w:w="11906" w:h="16838"/>
          <w:pgMar w:top="1440" w:right="1247" w:bottom="1417" w:left="1587" w:header="1134" w:footer="992" w:gutter="0"/>
          <w:cols w:space="720" w:num="1"/>
          <w:docGrid w:type="lines" w:linePitch="324" w:charSpace="0"/>
        </w:sectPr>
      </w:pPr>
      <w:r>
        <w:rPr>
          <w:rFonts w:hint="eastAsia" w:asciiTheme="minorEastAsia" w:hAnsiTheme="minorEastAsia" w:eastAsiaTheme="minorEastAsia" w:cstheme="minorEastAsia"/>
          <w:sz w:val="28"/>
          <w:szCs w:val="28"/>
        </w:rPr>
        <w:br w:type="page"/>
      </w:r>
    </w:p>
    <w:bookmarkEnd w:id="47"/>
    <w:p>
      <w:pPr>
        <w:pStyle w:val="8"/>
        <w:spacing w:line="360" w:lineRule="auto"/>
        <w:ind w:left="0"/>
        <w:outlineLvl w:val="1"/>
        <w:rPr>
          <w:rFonts w:asciiTheme="minorEastAsia" w:hAnsiTheme="minorEastAsia" w:eastAsiaTheme="minorEastAsia" w:cstheme="minorEastAsia"/>
          <w:b/>
          <w:bCs/>
          <w:sz w:val="28"/>
          <w:szCs w:val="28"/>
        </w:rPr>
      </w:pPr>
      <w:bookmarkStart w:id="77" w:name="_Toc10170"/>
      <w:r>
        <w:rPr>
          <w:rFonts w:hint="eastAsia" w:asciiTheme="minorEastAsia" w:hAnsiTheme="minorEastAsia" w:eastAsiaTheme="minorEastAsia" w:cstheme="minorEastAsia"/>
          <w:b/>
          <w:bCs/>
          <w:sz w:val="28"/>
          <w:szCs w:val="28"/>
        </w:rPr>
        <w:t>附件</w:t>
      </w:r>
      <w:r>
        <w:rPr>
          <w:rFonts w:hint="eastAsia" w:asciiTheme="minorEastAsia" w:hAnsiTheme="minorEastAsia" w:eastAsiaTheme="minorEastAsia" w:cstheme="minorEastAsia"/>
          <w:b/>
          <w:bCs/>
          <w:sz w:val="28"/>
          <w:szCs w:val="28"/>
          <w:lang w:val="en-US"/>
        </w:rPr>
        <w:t>一</w:t>
      </w:r>
      <w:r>
        <w:rPr>
          <w:rFonts w:hint="eastAsia" w:asciiTheme="minorEastAsia" w:hAnsiTheme="minorEastAsia" w:eastAsiaTheme="minorEastAsia" w:cstheme="minorEastAsia"/>
          <w:b/>
          <w:bCs/>
          <w:sz w:val="28"/>
          <w:szCs w:val="28"/>
        </w:rPr>
        <w:t>：饮用水水源地突发环境事件分级标准</w:t>
      </w:r>
      <w:bookmarkEnd w:id="77"/>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参照《国家突发环境事件应急预案》（2014年版）、《重庆市突发环境事件应急预案》（渝府办发〔2016〕22号），重庆市开州区满月镇饮用水水源地突发环境事件做出如下分级规定。</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一、重大环境事件（Ⅰ级）：</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1）发生10人以上、30人以下死亡，中毒（重伤）50人以上，100人以下的；</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2）区域生态功能部分丧失或濒危物种生存环境受到污染；</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3）因环境污染使当地经济、社会活动受到较大影响，疏散转移群众1万人以上，5万人以下的；</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4）因环境污染造成重要河流、湖泊、水库大面积污染，或乡级以上城镇水源地取水中断的污染事故。</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二、较大环境事件（Ⅱ级）：</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1）发生3人以上、10人以下死亡，或中毒（重伤）10以上、50人以下；</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2）因环境污染造成跨乡级行政区纠纷，使当地经济、社会活动受到影响；</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三、一般环境事件（Ⅲ级）：</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1）发生3人以下死亡，中毒（重伤）10以下；</w:t>
      </w:r>
    </w:p>
    <w:p>
      <w:pPr>
        <w:pStyle w:val="8"/>
        <w:spacing w:line="360" w:lineRule="auto"/>
        <w:ind w:left="0" w:firstLine="560" w:firstLineChars="20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2）因环境污染造成跨村级行政区域纠纷，引起一般群体</w:t>
      </w:r>
    </w:p>
    <w:p>
      <w:pPr>
        <w:pStyle w:val="8"/>
        <w:spacing w:line="360" w:lineRule="auto"/>
        <w:ind w:left="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br w:type="page"/>
      </w:r>
    </w:p>
    <w:p>
      <w:pPr>
        <w:pStyle w:val="8"/>
        <w:spacing w:line="360" w:lineRule="auto"/>
        <w:ind w:left="0"/>
        <w:outlineLvl w:val="1"/>
        <w:rPr>
          <w:rFonts w:asciiTheme="minorEastAsia" w:hAnsiTheme="minorEastAsia" w:eastAsiaTheme="minorEastAsia" w:cstheme="minorEastAsia"/>
          <w:b/>
          <w:bCs/>
          <w:sz w:val="28"/>
          <w:szCs w:val="28"/>
        </w:rPr>
      </w:pPr>
      <w:bookmarkStart w:id="78" w:name="_Toc7403"/>
      <w:r>
        <w:rPr>
          <w:rFonts w:hint="eastAsia" w:asciiTheme="minorEastAsia" w:hAnsiTheme="minorEastAsia" w:eastAsiaTheme="minorEastAsia" w:cstheme="minorEastAsia"/>
          <w:b/>
          <w:bCs/>
          <w:sz w:val="28"/>
          <w:szCs w:val="28"/>
          <w:lang w:val="en-US"/>
        </w:rPr>
        <w:t>附件二：</w:t>
      </w:r>
      <w:r>
        <w:rPr>
          <w:rFonts w:hint="eastAsia" w:asciiTheme="minorEastAsia" w:hAnsiTheme="minorEastAsia" w:eastAsiaTheme="minorEastAsia" w:cstheme="minorEastAsia"/>
          <w:b/>
          <w:bCs/>
          <w:sz w:val="28"/>
          <w:szCs w:val="28"/>
        </w:rPr>
        <w:t>应急组织机构联络方式</w:t>
      </w:r>
      <w:bookmarkEnd w:id="78"/>
    </w:p>
    <w:tbl>
      <w:tblPr>
        <w:tblStyle w:val="15"/>
        <w:tblW w:w="8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0"/>
        <w:gridCol w:w="1245"/>
        <w:gridCol w:w="2235"/>
        <w:gridCol w:w="1639"/>
        <w:gridCol w:w="21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noWrap/>
            <w:vAlign w:val="center"/>
          </w:tcPr>
          <w:p>
            <w:pPr>
              <w:pStyle w:val="8"/>
              <w:spacing w:line="360" w:lineRule="auto"/>
              <w:ind w:left="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名称</w:t>
            </w:r>
          </w:p>
        </w:tc>
        <w:tc>
          <w:tcPr>
            <w:tcW w:w="1245" w:type="dxa"/>
            <w:noWrap/>
            <w:vAlign w:val="center"/>
          </w:tcPr>
          <w:p>
            <w:pPr>
              <w:pStyle w:val="8"/>
              <w:spacing w:line="360" w:lineRule="auto"/>
              <w:ind w:left="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应急职务</w:t>
            </w:r>
          </w:p>
        </w:tc>
        <w:tc>
          <w:tcPr>
            <w:tcW w:w="2235" w:type="dxa"/>
            <w:noWrap/>
            <w:vAlign w:val="center"/>
          </w:tcPr>
          <w:p>
            <w:pPr>
              <w:pStyle w:val="8"/>
              <w:spacing w:line="360" w:lineRule="auto"/>
              <w:ind w:left="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职位</w:t>
            </w:r>
          </w:p>
        </w:tc>
        <w:tc>
          <w:tcPr>
            <w:tcW w:w="1639" w:type="dxa"/>
            <w:noWrap/>
            <w:vAlign w:val="center"/>
          </w:tcPr>
          <w:p>
            <w:pPr>
              <w:pStyle w:val="8"/>
              <w:spacing w:line="360" w:lineRule="auto"/>
              <w:ind w:left="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姓名</w:t>
            </w:r>
          </w:p>
        </w:tc>
        <w:tc>
          <w:tcPr>
            <w:tcW w:w="2141" w:type="dxa"/>
            <w:noWrap/>
            <w:vAlign w:val="center"/>
          </w:tcPr>
          <w:p>
            <w:pPr>
              <w:pStyle w:val="8"/>
              <w:spacing w:line="360" w:lineRule="auto"/>
              <w:ind w:left="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restart"/>
            <w:noWrap/>
            <w:vAlign w:val="center"/>
          </w:tcPr>
          <w:p>
            <w:pPr>
              <w:pStyle w:val="8"/>
              <w:spacing w:line="360" w:lineRule="auto"/>
              <w:ind w:left="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应急指挥部</w:t>
            </w:r>
          </w:p>
        </w:tc>
        <w:tc>
          <w:tcPr>
            <w:tcW w:w="1245" w:type="dxa"/>
            <w:noWrap/>
            <w:vAlign w:val="center"/>
          </w:tcPr>
          <w:p>
            <w:pPr>
              <w:pStyle w:val="8"/>
              <w:spacing w:line="360" w:lineRule="auto"/>
              <w:ind w:left="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总指挥</w:t>
            </w:r>
          </w:p>
        </w:tc>
        <w:tc>
          <w:tcPr>
            <w:tcW w:w="2235" w:type="dxa"/>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党委书记</w:t>
            </w:r>
          </w:p>
        </w:tc>
        <w:tc>
          <w:tcPr>
            <w:tcW w:w="1639" w:type="dxa"/>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李  聪</w:t>
            </w:r>
          </w:p>
        </w:tc>
        <w:tc>
          <w:tcPr>
            <w:tcW w:w="2141" w:type="dxa"/>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13594870999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ign w:val="center"/>
          </w:tcPr>
          <w:p>
            <w:pPr>
              <w:pStyle w:val="8"/>
              <w:spacing w:line="360" w:lineRule="auto"/>
              <w:ind w:left="0"/>
              <w:jc w:val="center"/>
              <w:rPr>
                <w:rFonts w:asciiTheme="minorEastAsia" w:hAnsiTheme="minorEastAsia" w:eastAsiaTheme="minorEastAsia" w:cstheme="minorEastAsia"/>
                <w:sz w:val="21"/>
                <w:szCs w:val="21"/>
              </w:rPr>
            </w:pPr>
          </w:p>
        </w:tc>
        <w:tc>
          <w:tcPr>
            <w:tcW w:w="1245" w:type="dxa"/>
            <w:noWrap/>
            <w:vAlign w:val="center"/>
          </w:tcPr>
          <w:p>
            <w:pPr>
              <w:pStyle w:val="8"/>
              <w:spacing w:line="360" w:lineRule="auto"/>
              <w:ind w:left="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副总指挥</w:t>
            </w:r>
          </w:p>
        </w:tc>
        <w:tc>
          <w:tcPr>
            <w:tcW w:w="2235" w:type="dxa"/>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镇长、党委副书记</w:t>
            </w:r>
          </w:p>
        </w:tc>
        <w:tc>
          <w:tcPr>
            <w:tcW w:w="1639" w:type="dxa"/>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李启玮</w:t>
            </w:r>
          </w:p>
        </w:tc>
        <w:tc>
          <w:tcPr>
            <w:tcW w:w="2141" w:type="dxa"/>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13996660898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ign w:val="center"/>
          </w:tcPr>
          <w:p>
            <w:pPr>
              <w:pStyle w:val="8"/>
              <w:spacing w:line="360" w:lineRule="auto"/>
              <w:ind w:left="0"/>
              <w:jc w:val="center"/>
              <w:rPr>
                <w:rFonts w:asciiTheme="minorEastAsia" w:hAnsiTheme="minorEastAsia" w:eastAsiaTheme="minorEastAsia" w:cstheme="minorEastAsia"/>
                <w:sz w:val="21"/>
                <w:szCs w:val="21"/>
              </w:rPr>
            </w:pPr>
          </w:p>
        </w:tc>
        <w:tc>
          <w:tcPr>
            <w:tcW w:w="1245" w:type="dxa"/>
            <w:vMerge w:val="restart"/>
            <w:noWrap/>
            <w:vAlign w:val="center"/>
          </w:tcPr>
          <w:p>
            <w:pPr>
              <w:pStyle w:val="8"/>
              <w:spacing w:line="360" w:lineRule="auto"/>
              <w:ind w:left="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成员</w:t>
            </w:r>
          </w:p>
        </w:tc>
        <w:tc>
          <w:tcPr>
            <w:tcW w:w="2235" w:type="dxa"/>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副镇长</w:t>
            </w:r>
          </w:p>
        </w:tc>
        <w:tc>
          <w:tcPr>
            <w:tcW w:w="1639" w:type="dxa"/>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沈  文</w:t>
            </w:r>
          </w:p>
        </w:tc>
        <w:tc>
          <w:tcPr>
            <w:tcW w:w="2141" w:type="dxa"/>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17783480009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ign w:val="center"/>
          </w:tcPr>
          <w:p>
            <w:pPr>
              <w:pStyle w:val="8"/>
              <w:spacing w:line="360" w:lineRule="auto"/>
              <w:ind w:left="0"/>
              <w:jc w:val="center"/>
              <w:rPr>
                <w:rFonts w:asciiTheme="minorEastAsia" w:hAnsiTheme="minorEastAsia" w:eastAsiaTheme="minorEastAsia" w:cstheme="minorEastAsia"/>
                <w:sz w:val="21"/>
                <w:szCs w:val="21"/>
              </w:rPr>
            </w:pPr>
          </w:p>
        </w:tc>
        <w:tc>
          <w:tcPr>
            <w:tcW w:w="1245" w:type="dxa"/>
            <w:vMerge w:val="continue"/>
            <w:noWrap/>
            <w:vAlign w:val="center"/>
          </w:tcPr>
          <w:p>
            <w:pPr>
              <w:pStyle w:val="8"/>
              <w:spacing w:line="360" w:lineRule="auto"/>
              <w:ind w:left="0"/>
              <w:jc w:val="center"/>
              <w:rPr>
                <w:rFonts w:asciiTheme="minorEastAsia" w:hAnsiTheme="minorEastAsia" w:eastAsiaTheme="minorEastAsia" w:cstheme="minorEastAsia"/>
                <w:sz w:val="21"/>
                <w:szCs w:val="21"/>
              </w:rPr>
            </w:pPr>
          </w:p>
        </w:tc>
        <w:tc>
          <w:tcPr>
            <w:tcW w:w="2235" w:type="dxa"/>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副镇长</w:t>
            </w:r>
          </w:p>
        </w:tc>
        <w:tc>
          <w:tcPr>
            <w:tcW w:w="1639" w:type="dxa"/>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陈  攀</w:t>
            </w:r>
          </w:p>
        </w:tc>
        <w:tc>
          <w:tcPr>
            <w:tcW w:w="2141" w:type="dxa"/>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13658227333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restart"/>
            <w:noWrap/>
            <w:vAlign w:val="center"/>
          </w:tcPr>
          <w:p>
            <w:pPr>
              <w:pStyle w:val="8"/>
              <w:spacing w:line="360" w:lineRule="auto"/>
              <w:ind w:left="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现场处置组</w:t>
            </w:r>
          </w:p>
        </w:tc>
        <w:tc>
          <w:tcPr>
            <w:tcW w:w="1245" w:type="dxa"/>
            <w:noWrap/>
            <w:vAlign w:val="center"/>
          </w:tcPr>
          <w:p>
            <w:pPr>
              <w:pStyle w:val="8"/>
              <w:spacing w:line="360" w:lineRule="auto"/>
              <w:ind w:left="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组长</w:t>
            </w:r>
          </w:p>
        </w:tc>
        <w:tc>
          <w:tcPr>
            <w:tcW w:w="2235" w:type="dxa"/>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主任/</w:t>
            </w:r>
            <w:r>
              <w:rPr>
                <w:rFonts w:hint="eastAsia"/>
                <w:kern w:val="0"/>
                <w:sz w:val="21"/>
                <w:szCs w:val="21"/>
                <w:lang w:val="en-US"/>
              </w:rPr>
              <w:t>水厂负责人</w:t>
            </w:r>
          </w:p>
        </w:tc>
        <w:tc>
          <w:tcPr>
            <w:tcW w:w="1639" w:type="dxa"/>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韩兴山</w:t>
            </w:r>
          </w:p>
        </w:tc>
        <w:tc>
          <w:tcPr>
            <w:tcW w:w="2141" w:type="dxa"/>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15025597773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ign w:val="center"/>
          </w:tcPr>
          <w:p>
            <w:pPr>
              <w:pStyle w:val="8"/>
              <w:spacing w:line="360" w:lineRule="auto"/>
              <w:ind w:left="0"/>
              <w:jc w:val="center"/>
              <w:rPr>
                <w:rFonts w:asciiTheme="minorEastAsia" w:hAnsiTheme="minorEastAsia" w:eastAsiaTheme="minorEastAsia" w:cstheme="minorEastAsia"/>
                <w:sz w:val="21"/>
                <w:szCs w:val="21"/>
              </w:rPr>
            </w:pPr>
          </w:p>
        </w:tc>
        <w:tc>
          <w:tcPr>
            <w:tcW w:w="1245" w:type="dxa"/>
            <w:vMerge w:val="restart"/>
            <w:noWrap/>
            <w:vAlign w:val="center"/>
          </w:tcPr>
          <w:p>
            <w:pPr>
              <w:pStyle w:val="8"/>
              <w:spacing w:line="360" w:lineRule="auto"/>
              <w:ind w:left="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成员</w:t>
            </w:r>
          </w:p>
        </w:tc>
        <w:tc>
          <w:tcPr>
            <w:tcW w:w="2235" w:type="dxa"/>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办事员</w:t>
            </w:r>
          </w:p>
        </w:tc>
        <w:tc>
          <w:tcPr>
            <w:tcW w:w="1639" w:type="dxa"/>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廖邦杰</w:t>
            </w:r>
          </w:p>
        </w:tc>
        <w:tc>
          <w:tcPr>
            <w:tcW w:w="2141" w:type="dxa"/>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18716553969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ign w:val="center"/>
          </w:tcPr>
          <w:p>
            <w:pPr>
              <w:pStyle w:val="8"/>
              <w:spacing w:line="360" w:lineRule="auto"/>
              <w:ind w:left="0"/>
              <w:jc w:val="center"/>
              <w:rPr>
                <w:rFonts w:asciiTheme="minorEastAsia" w:hAnsiTheme="minorEastAsia" w:eastAsiaTheme="minorEastAsia" w:cstheme="minorEastAsia"/>
                <w:sz w:val="21"/>
                <w:szCs w:val="21"/>
              </w:rPr>
            </w:pPr>
          </w:p>
        </w:tc>
        <w:tc>
          <w:tcPr>
            <w:tcW w:w="1245" w:type="dxa"/>
            <w:vMerge w:val="continue"/>
            <w:noWrap/>
            <w:vAlign w:val="center"/>
          </w:tcPr>
          <w:p>
            <w:pPr>
              <w:pStyle w:val="8"/>
              <w:spacing w:line="360" w:lineRule="auto"/>
              <w:ind w:left="0"/>
              <w:jc w:val="center"/>
              <w:rPr>
                <w:rFonts w:asciiTheme="minorEastAsia" w:hAnsiTheme="minorEastAsia" w:eastAsiaTheme="minorEastAsia" w:cstheme="minorEastAsia"/>
                <w:sz w:val="21"/>
                <w:szCs w:val="21"/>
              </w:rPr>
            </w:pPr>
          </w:p>
        </w:tc>
        <w:tc>
          <w:tcPr>
            <w:tcW w:w="2235" w:type="dxa"/>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办事员</w:t>
            </w:r>
          </w:p>
        </w:tc>
        <w:tc>
          <w:tcPr>
            <w:tcW w:w="1639" w:type="dxa"/>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王代波</w:t>
            </w:r>
          </w:p>
        </w:tc>
        <w:tc>
          <w:tcPr>
            <w:tcW w:w="2141" w:type="dxa"/>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17318406587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ign w:val="center"/>
          </w:tcPr>
          <w:p>
            <w:pPr>
              <w:pStyle w:val="8"/>
              <w:spacing w:line="360" w:lineRule="auto"/>
              <w:ind w:left="0"/>
              <w:jc w:val="center"/>
              <w:rPr>
                <w:rFonts w:asciiTheme="minorEastAsia" w:hAnsiTheme="minorEastAsia" w:eastAsiaTheme="minorEastAsia" w:cstheme="minorEastAsia"/>
                <w:sz w:val="21"/>
                <w:szCs w:val="21"/>
              </w:rPr>
            </w:pPr>
          </w:p>
        </w:tc>
        <w:tc>
          <w:tcPr>
            <w:tcW w:w="1245" w:type="dxa"/>
            <w:vMerge w:val="continue"/>
            <w:noWrap/>
            <w:vAlign w:val="center"/>
          </w:tcPr>
          <w:p>
            <w:pPr>
              <w:pStyle w:val="8"/>
              <w:spacing w:line="360" w:lineRule="auto"/>
              <w:ind w:left="0"/>
              <w:jc w:val="center"/>
              <w:rPr>
                <w:rFonts w:asciiTheme="minorEastAsia" w:hAnsiTheme="minorEastAsia" w:eastAsiaTheme="minorEastAsia" w:cstheme="minorEastAsia"/>
                <w:sz w:val="21"/>
                <w:szCs w:val="21"/>
              </w:rPr>
            </w:pPr>
          </w:p>
        </w:tc>
        <w:tc>
          <w:tcPr>
            <w:tcW w:w="2235" w:type="dxa"/>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办事员</w:t>
            </w:r>
          </w:p>
        </w:tc>
        <w:tc>
          <w:tcPr>
            <w:tcW w:w="1639" w:type="dxa"/>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向世周</w:t>
            </w:r>
          </w:p>
        </w:tc>
        <w:tc>
          <w:tcPr>
            <w:tcW w:w="2141" w:type="dxa"/>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15223577339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restart"/>
            <w:noWrap/>
            <w:vAlign w:val="center"/>
          </w:tcPr>
          <w:p>
            <w:pPr>
              <w:pStyle w:val="8"/>
              <w:spacing w:line="360" w:lineRule="auto"/>
              <w:ind w:left="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综合协调组</w:t>
            </w:r>
          </w:p>
        </w:tc>
        <w:tc>
          <w:tcPr>
            <w:tcW w:w="1245" w:type="dxa"/>
            <w:noWrap/>
            <w:vAlign w:val="center"/>
          </w:tcPr>
          <w:p>
            <w:pPr>
              <w:pStyle w:val="8"/>
              <w:spacing w:line="360" w:lineRule="auto"/>
              <w:ind w:left="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组长</w:t>
            </w:r>
          </w:p>
        </w:tc>
        <w:tc>
          <w:tcPr>
            <w:tcW w:w="2235" w:type="dxa"/>
            <w:noWrap/>
            <w:vAlign w:val="center"/>
          </w:tcPr>
          <w:p>
            <w:pPr>
              <w:pStyle w:val="8"/>
              <w:spacing w:line="360" w:lineRule="auto"/>
              <w:ind w:left="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rPr>
              <w:t>副主任</w:t>
            </w:r>
          </w:p>
        </w:tc>
        <w:tc>
          <w:tcPr>
            <w:tcW w:w="1639" w:type="dxa"/>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熊良坤</w:t>
            </w:r>
          </w:p>
        </w:tc>
        <w:tc>
          <w:tcPr>
            <w:tcW w:w="2141" w:type="dxa"/>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19122090111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ign w:val="center"/>
          </w:tcPr>
          <w:p>
            <w:pPr>
              <w:pStyle w:val="8"/>
              <w:spacing w:line="360" w:lineRule="auto"/>
              <w:ind w:left="0"/>
              <w:jc w:val="center"/>
              <w:rPr>
                <w:rFonts w:asciiTheme="minorEastAsia" w:hAnsiTheme="minorEastAsia" w:eastAsiaTheme="minorEastAsia" w:cstheme="minorEastAsia"/>
                <w:sz w:val="21"/>
                <w:szCs w:val="21"/>
              </w:rPr>
            </w:pPr>
          </w:p>
        </w:tc>
        <w:tc>
          <w:tcPr>
            <w:tcW w:w="1245" w:type="dxa"/>
            <w:vMerge w:val="restart"/>
            <w:noWrap/>
            <w:vAlign w:val="center"/>
          </w:tcPr>
          <w:p>
            <w:pPr>
              <w:pStyle w:val="8"/>
              <w:spacing w:line="360" w:lineRule="auto"/>
              <w:ind w:left="0"/>
              <w:jc w:val="center"/>
              <w:rPr>
                <w:rFonts w:asciiTheme="minorEastAsia" w:hAnsiTheme="minorEastAsia" w:eastAsiaTheme="minorEastAsia" w:cstheme="minorEastAsia"/>
                <w:sz w:val="21"/>
                <w:szCs w:val="21"/>
              </w:rPr>
            </w:pPr>
          </w:p>
        </w:tc>
        <w:tc>
          <w:tcPr>
            <w:tcW w:w="2235" w:type="dxa"/>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办事员</w:t>
            </w:r>
          </w:p>
        </w:tc>
        <w:tc>
          <w:tcPr>
            <w:tcW w:w="1639" w:type="dxa"/>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王孝聪</w:t>
            </w:r>
          </w:p>
        </w:tc>
        <w:tc>
          <w:tcPr>
            <w:tcW w:w="2141" w:type="dxa"/>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19123592555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ign w:val="center"/>
          </w:tcPr>
          <w:p>
            <w:pPr>
              <w:pStyle w:val="8"/>
              <w:spacing w:line="360" w:lineRule="auto"/>
              <w:ind w:left="0"/>
              <w:jc w:val="center"/>
              <w:rPr>
                <w:rFonts w:asciiTheme="minorEastAsia" w:hAnsiTheme="minorEastAsia" w:eastAsiaTheme="minorEastAsia" w:cstheme="minorEastAsia"/>
                <w:sz w:val="21"/>
                <w:szCs w:val="21"/>
              </w:rPr>
            </w:pPr>
          </w:p>
        </w:tc>
        <w:tc>
          <w:tcPr>
            <w:tcW w:w="1245" w:type="dxa"/>
            <w:vMerge w:val="continue"/>
            <w:noWrap/>
            <w:vAlign w:val="center"/>
          </w:tcPr>
          <w:p>
            <w:pPr>
              <w:pStyle w:val="8"/>
              <w:spacing w:line="360" w:lineRule="auto"/>
              <w:ind w:left="0"/>
              <w:jc w:val="center"/>
              <w:rPr>
                <w:rFonts w:asciiTheme="minorEastAsia" w:hAnsiTheme="minorEastAsia" w:eastAsiaTheme="minorEastAsia" w:cstheme="minorEastAsia"/>
                <w:sz w:val="21"/>
                <w:szCs w:val="21"/>
              </w:rPr>
            </w:pPr>
          </w:p>
        </w:tc>
        <w:tc>
          <w:tcPr>
            <w:tcW w:w="2235" w:type="dxa"/>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办事员</w:t>
            </w:r>
          </w:p>
        </w:tc>
        <w:tc>
          <w:tcPr>
            <w:tcW w:w="1639" w:type="dxa"/>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武  卫</w:t>
            </w:r>
          </w:p>
        </w:tc>
        <w:tc>
          <w:tcPr>
            <w:tcW w:w="2141" w:type="dxa"/>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19923533567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restart"/>
            <w:noWrap/>
            <w:vAlign w:val="center"/>
          </w:tcPr>
          <w:p>
            <w:pPr>
              <w:pStyle w:val="8"/>
              <w:spacing w:line="360" w:lineRule="auto"/>
              <w:ind w:left="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应急保障组</w:t>
            </w:r>
          </w:p>
        </w:tc>
        <w:tc>
          <w:tcPr>
            <w:tcW w:w="1245" w:type="dxa"/>
            <w:noWrap/>
            <w:vAlign w:val="center"/>
          </w:tcPr>
          <w:p>
            <w:pPr>
              <w:pStyle w:val="8"/>
              <w:spacing w:line="360" w:lineRule="auto"/>
              <w:ind w:left="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组长</w:t>
            </w:r>
          </w:p>
        </w:tc>
        <w:tc>
          <w:tcPr>
            <w:tcW w:w="2235" w:type="dxa"/>
            <w:noWrap/>
            <w:vAlign w:val="center"/>
          </w:tcPr>
          <w:p>
            <w:pPr>
              <w:pStyle w:val="8"/>
              <w:spacing w:line="360" w:lineRule="auto"/>
              <w:ind w:left="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组长</w:t>
            </w:r>
          </w:p>
        </w:tc>
        <w:tc>
          <w:tcPr>
            <w:tcW w:w="1639" w:type="dxa"/>
            <w:noWrap/>
            <w:vAlign w:val="center"/>
          </w:tcPr>
          <w:p>
            <w:pPr>
              <w:pStyle w:val="8"/>
              <w:spacing w:line="360" w:lineRule="auto"/>
              <w:ind w:left="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rPr>
              <w:t>徐宏彬</w:t>
            </w:r>
          </w:p>
        </w:tc>
        <w:tc>
          <w:tcPr>
            <w:tcW w:w="2141" w:type="dxa"/>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13330397000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ign w:val="center"/>
          </w:tcPr>
          <w:p>
            <w:pPr>
              <w:pStyle w:val="8"/>
              <w:spacing w:line="360" w:lineRule="auto"/>
              <w:ind w:left="0"/>
              <w:jc w:val="center"/>
              <w:rPr>
                <w:rFonts w:asciiTheme="minorEastAsia" w:hAnsiTheme="minorEastAsia" w:eastAsiaTheme="minorEastAsia" w:cstheme="minorEastAsia"/>
                <w:sz w:val="21"/>
                <w:szCs w:val="21"/>
              </w:rPr>
            </w:pPr>
          </w:p>
        </w:tc>
        <w:tc>
          <w:tcPr>
            <w:tcW w:w="1245" w:type="dxa"/>
            <w:vMerge w:val="restart"/>
            <w:noWrap/>
            <w:vAlign w:val="center"/>
          </w:tcPr>
          <w:p>
            <w:pPr>
              <w:pStyle w:val="8"/>
              <w:spacing w:line="360" w:lineRule="auto"/>
              <w:ind w:left="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成员</w:t>
            </w:r>
          </w:p>
        </w:tc>
        <w:tc>
          <w:tcPr>
            <w:tcW w:w="2235" w:type="dxa"/>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办事员</w:t>
            </w:r>
          </w:p>
        </w:tc>
        <w:tc>
          <w:tcPr>
            <w:tcW w:w="1639" w:type="dxa"/>
            <w:noWrap/>
            <w:vAlign w:val="center"/>
          </w:tcPr>
          <w:p>
            <w:pPr>
              <w:pStyle w:val="8"/>
              <w:spacing w:line="360" w:lineRule="auto"/>
              <w:ind w:left="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rPr>
              <w:t>谢青松</w:t>
            </w:r>
          </w:p>
        </w:tc>
        <w:tc>
          <w:tcPr>
            <w:tcW w:w="2141" w:type="dxa"/>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13527429521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ign w:val="center"/>
          </w:tcPr>
          <w:p>
            <w:pPr>
              <w:pStyle w:val="8"/>
              <w:spacing w:line="360" w:lineRule="auto"/>
              <w:ind w:left="0"/>
              <w:jc w:val="center"/>
              <w:rPr>
                <w:rFonts w:asciiTheme="minorEastAsia" w:hAnsiTheme="minorEastAsia" w:eastAsiaTheme="minorEastAsia" w:cstheme="minorEastAsia"/>
                <w:sz w:val="21"/>
                <w:szCs w:val="21"/>
              </w:rPr>
            </w:pPr>
          </w:p>
        </w:tc>
        <w:tc>
          <w:tcPr>
            <w:tcW w:w="1245" w:type="dxa"/>
            <w:vMerge w:val="continue"/>
            <w:noWrap/>
            <w:vAlign w:val="center"/>
          </w:tcPr>
          <w:p>
            <w:pPr>
              <w:pStyle w:val="8"/>
              <w:spacing w:line="360" w:lineRule="auto"/>
              <w:ind w:left="0"/>
              <w:jc w:val="center"/>
              <w:rPr>
                <w:rFonts w:asciiTheme="minorEastAsia" w:hAnsiTheme="minorEastAsia" w:eastAsiaTheme="minorEastAsia" w:cstheme="minorEastAsia"/>
                <w:sz w:val="21"/>
                <w:szCs w:val="21"/>
              </w:rPr>
            </w:pPr>
          </w:p>
        </w:tc>
        <w:tc>
          <w:tcPr>
            <w:tcW w:w="2235" w:type="dxa"/>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办事员</w:t>
            </w:r>
          </w:p>
        </w:tc>
        <w:tc>
          <w:tcPr>
            <w:tcW w:w="1639" w:type="dxa"/>
            <w:noWrap/>
            <w:vAlign w:val="center"/>
          </w:tcPr>
          <w:p>
            <w:pPr>
              <w:pStyle w:val="8"/>
              <w:spacing w:line="360" w:lineRule="auto"/>
              <w:ind w:left="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rPr>
              <w:t>陈  华</w:t>
            </w:r>
          </w:p>
        </w:tc>
        <w:tc>
          <w:tcPr>
            <w:tcW w:w="2141" w:type="dxa"/>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15223606966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ign w:val="center"/>
          </w:tcPr>
          <w:p>
            <w:pPr>
              <w:pStyle w:val="8"/>
              <w:spacing w:line="360" w:lineRule="auto"/>
              <w:ind w:left="0"/>
              <w:jc w:val="center"/>
              <w:rPr>
                <w:rFonts w:asciiTheme="minorEastAsia" w:hAnsiTheme="minorEastAsia" w:eastAsiaTheme="minorEastAsia" w:cstheme="minorEastAsia"/>
                <w:sz w:val="21"/>
                <w:szCs w:val="21"/>
              </w:rPr>
            </w:pPr>
          </w:p>
        </w:tc>
        <w:tc>
          <w:tcPr>
            <w:tcW w:w="1245" w:type="dxa"/>
            <w:vMerge w:val="continue"/>
            <w:noWrap/>
            <w:vAlign w:val="center"/>
          </w:tcPr>
          <w:p>
            <w:pPr>
              <w:pStyle w:val="8"/>
              <w:spacing w:line="360" w:lineRule="auto"/>
              <w:ind w:left="0"/>
              <w:jc w:val="center"/>
              <w:rPr>
                <w:rFonts w:asciiTheme="minorEastAsia" w:hAnsiTheme="minorEastAsia" w:eastAsiaTheme="minorEastAsia" w:cstheme="minorEastAsia"/>
                <w:sz w:val="21"/>
                <w:szCs w:val="21"/>
              </w:rPr>
            </w:pPr>
          </w:p>
        </w:tc>
        <w:tc>
          <w:tcPr>
            <w:tcW w:w="2235" w:type="dxa"/>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办事员</w:t>
            </w:r>
          </w:p>
        </w:tc>
        <w:tc>
          <w:tcPr>
            <w:tcW w:w="1639" w:type="dxa"/>
            <w:noWrap/>
            <w:vAlign w:val="center"/>
          </w:tcPr>
          <w:p>
            <w:pPr>
              <w:pStyle w:val="8"/>
              <w:spacing w:line="360" w:lineRule="auto"/>
              <w:ind w:left="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rPr>
              <w:t>刘  祥</w:t>
            </w:r>
          </w:p>
        </w:tc>
        <w:tc>
          <w:tcPr>
            <w:tcW w:w="2141" w:type="dxa"/>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15826331849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restart"/>
            <w:noWrap/>
            <w:vAlign w:val="center"/>
          </w:tcPr>
          <w:p>
            <w:pPr>
              <w:pStyle w:val="8"/>
              <w:spacing w:line="360" w:lineRule="auto"/>
              <w:ind w:left="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应急监测组</w:t>
            </w:r>
          </w:p>
        </w:tc>
        <w:tc>
          <w:tcPr>
            <w:tcW w:w="1245" w:type="dxa"/>
            <w:noWrap/>
            <w:vAlign w:val="center"/>
          </w:tcPr>
          <w:p>
            <w:pPr>
              <w:pStyle w:val="8"/>
              <w:spacing w:line="360" w:lineRule="auto"/>
              <w:ind w:left="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组长</w:t>
            </w:r>
          </w:p>
        </w:tc>
        <w:tc>
          <w:tcPr>
            <w:tcW w:w="2235" w:type="dxa"/>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副镇长</w:t>
            </w:r>
          </w:p>
        </w:tc>
        <w:tc>
          <w:tcPr>
            <w:tcW w:w="1639" w:type="dxa"/>
            <w:noWrap/>
            <w:vAlign w:val="center"/>
          </w:tcPr>
          <w:p>
            <w:pPr>
              <w:pStyle w:val="8"/>
              <w:spacing w:line="360" w:lineRule="auto"/>
              <w:ind w:left="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rPr>
              <w:t>沈  文</w:t>
            </w:r>
          </w:p>
        </w:tc>
        <w:tc>
          <w:tcPr>
            <w:tcW w:w="2141" w:type="dxa"/>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17783480009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60" w:type="dxa"/>
            <w:vMerge w:val="continue"/>
            <w:noWrap/>
            <w:vAlign w:val="center"/>
          </w:tcPr>
          <w:p>
            <w:pPr>
              <w:pStyle w:val="8"/>
              <w:spacing w:line="360" w:lineRule="auto"/>
              <w:ind w:left="0"/>
              <w:jc w:val="center"/>
              <w:rPr>
                <w:rFonts w:asciiTheme="minorEastAsia" w:hAnsiTheme="minorEastAsia" w:eastAsiaTheme="minorEastAsia" w:cstheme="minorEastAsia"/>
                <w:sz w:val="21"/>
                <w:szCs w:val="21"/>
              </w:rPr>
            </w:pPr>
          </w:p>
        </w:tc>
        <w:tc>
          <w:tcPr>
            <w:tcW w:w="1245" w:type="dxa"/>
            <w:noWrap/>
            <w:vAlign w:val="center"/>
          </w:tcPr>
          <w:p>
            <w:pPr>
              <w:pStyle w:val="8"/>
              <w:spacing w:line="360" w:lineRule="auto"/>
              <w:ind w:left="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成员</w:t>
            </w:r>
          </w:p>
        </w:tc>
        <w:tc>
          <w:tcPr>
            <w:tcW w:w="2235" w:type="dxa"/>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副主任</w:t>
            </w:r>
          </w:p>
        </w:tc>
        <w:tc>
          <w:tcPr>
            <w:tcW w:w="1639" w:type="dxa"/>
            <w:noWrap/>
            <w:vAlign w:val="center"/>
          </w:tcPr>
          <w:p>
            <w:pPr>
              <w:pStyle w:val="8"/>
              <w:spacing w:line="360" w:lineRule="auto"/>
              <w:ind w:left="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rPr>
              <w:t>熊良坤</w:t>
            </w:r>
          </w:p>
        </w:tc>
        <w:tc>
          <w:tcPr>
            <w:tcW w:w="2141" w:type="dxa"/>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19122090111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1260" w:type="dxa"/>
            <w:vMerge w:val="continue"/>
            <w:noWrap/>
            <w:vAlign w:val="center"/>
          </w:tcPr>
          <w:p>
            <w:pPr>
              <w:pStyle w:val="8"/>
              <w:spacing w:line="360" w:lineRule="auto"/>
              <w:ind w:left="0"/>
              <w:jc w:val="center"/>
              <w:rPr>
                <w:rFonts w:asciiTheme="minorEastAsia" w:hAnsiTheme="minorEastAsia" w:eastAsiaTheme="minorEastAsia" w:cstheme="minorEastAsia"/>
                <w:sz w:val="21"/>
                <w:szCs w:val="21"/>
              </w:rPr>
            </w:pPr>
          </w:p>
        </w:tc>
        <w:tc>
          <w:tcPr>
            <w:tcW w:w="1245" w:type="dxa"/>
            <w:noWrap/>
            <w:vAlign w:val="center"/>
          </w:tcPr>
          <w:p>
            <w:pPr>
              <w:pStyle w:val="8"/>
              <w:spacing w:line="360" w:lineRule="auto"/>
              <w:ind w:left="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成员</w:t>
            </w:r>
          </w:p>
        </w:tc>
        <w:tc>
          <w:tcPr>
            <w:tcW w:w="2235" w:type="dxa"/>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办事员</w:t>
            </w:r>
          </w:p>
        </w:tc>
        <w:tc>
          <w:tcPr>
            <w:tcW w:w="1639" w:type="dxa"/>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王孝聪</w:t>
            </w:r>
          </w:p>
        </w:tc>
        <w:tc>
          <w:tcPr>
            <w:tcW w:w="2141" w:type="dxa"/>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19123592555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8520" w:type="dxa"/>
            <w:gridSpan w:val="5"/>
            <w:noWrap/>
            <w:vAlign w:val="center"/>
          </w:tcPr>
          <w:p>
            <w:pPr>
              <w:pStyle w:val="8"/>
              <w:spacing w:line="360" w:lineRule="auto"/>
              <w:ind w:left="0"/>
              <w:jc w:val="left"/>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应急值班电话：    023-52445513</w:t>
            </w:r>
          </w:p>
        </w:tc>
      </w:tr>
    </w:tbl>
    <w:p>
      <w:pPr>
        <w:pStyle w:val="8"/>
        <w:spacing w:line="360" w:lineRule="auto"/>
        <w:ind w:left="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br w:type="page"/>
      </w:r>
    </w:p>
    <w:p>
      <w:pPr>
        <w:pStyle w:val="8"/>
        <w:spacing w:line="360" w:lineRule="auto"/>
        <w:ind w:left="0"/>
        <w:outlineLvl w:val="1"/>
        <w:rPr>
          <w:rFonts w:asciiTheme="minorEastAsia" w:hAnsiTheme="minorEastAsia" w:eastAsiaTheme="minorEastAsia" w:cstheme="minorEastAsia"/>
          <w:b/>
          <w:bCs/>
          <w:sz w:val="28"/>
          <w:szCs w:val="28"/>
          <w:lang w:val="en-US"/>
        </w:rPr>
      </w:pPr>
      <w:bookmarkStart w:id="79" w:name="_Toc11530"/>
      <w:r>
        <w:rPr>
          <w:rFonts w:hint="eastAsia" w:asciiTheme="minorEastAsia" w:hAnsiTheme="minorEastAsia" w:eastAsiaTheme="minorEastAsia" w:cstheme="minorEastAsia"/>
          <w:b/>
          <w:bCs/>
          <w:sz w:val="28"/>
          <w:szCs w:val="28"/>
          <w:lang w:val="en-US"/>
        </w:rPr>
        <w:t>附件三：外部救援机构联系电话</w:t>
      </w:r>
      <w:bookmarkEnd w:id="79"/>
    </w:p>
    <w:tbl>
      <w:tblPr>
        <w:tblStyle w:val="15"/>
        <w:tblW w:w="891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377"/>
        <w:gridCol w:w="1995"/>
        <w:gridCol w:w="2273"/>
        <w:gridCol w:w="227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377" w:type="dxa"/>
            <w:tcBorders>
              <w:tl2br w:val="nil"/>
              <w:tr2bl w:val="nil"/>
            </w:tcBorders>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部门单位</w:t>
            </w:r>
          </w:p>
        </w:tc>
        <w:tc>
          <w:tcPr>
            <w:tcW w:w="1995" w:type="dxa"/>
            <w:tcBorders>
              <w:tl2br w:val="nil"/>
              <w:tr2bl w:val="nil"/>
            </w:tcBorders>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联系方式</w:t>
            </w:r>
          </w:p>
        </w:tc>
        <w:tc>
          <w:tcPr>
            <w:tcW w:w="2273" w:type="dxa"/>
            <w:tcBorders>
              <w:tl2br w:val="nil"/>
              <w:tr2bl w:val="nil"/>
            </w:tcBorders>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传真</w:t>
            </w:r>
          </w:p>
        </w:tc>
        <w:tc>
          <w:tcPr>
            <w:tcW w:w="2273" w:type="dxa"/>
            <w:tcBorders>
              <w:tl2br w:val="nil"/>
              <w:tr2bl w:val="nil"/>
            </w:tcBorders>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377" w:type="dxa"/>
            <w:tcBorders>
              <w:tl2br w:val="nil"/>
              <w:tr2bl w:val="nil"/>
            </w:tcBorders>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开州区人民政府</w:t>
            </w:r>
          </w:p>
        </w:tc>
        <w:tc>
          <w:tcPr>
            <w:tcW w:w="1995" w:type="dxa"/>
            <w:tcBorders>
              <w:tl2br w:val="nil"/>
              <w:tr2bl w:val="nil"/>
            </w:tcBorders>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023-52255600</w:t>
            </w:r>
          </w:p>
        </w:tc>
        <w:tc>
          <w:tcPr>
            <w:tcW w:w="2273" w:type="dxa"/>
            <w:tcBorders>
              <w:tl2br w:val="nil"/>
              <w:tr2bl w:val="nil"/>
            </w:tcBorders>
            <w:noWrap/>
            <w:vAlign w:val="center"/>
          </w:tcPr>
          <w:p>
            <w:pPr>
              <w:pStyle w:val="8"/>
              <w:spacing w:line="360" w:lineRule="auto"/>
              <w:ind w:left="0"/>
              <w:jc w:val="center"/>
              <w:rPr>
                <w:rFonts w:asciiTheme="minorEastAsia" w:hAnsiTheme="minorEastAsia" w:eastAsiaTheme="minorEastAsia" w:cstheme="minorEastAsia"/>
                <w:sz w:val="21"/>
                <w:szCs w:val="21"/>
                <w:lang w:val="en-US"/>
              </w:rPr>
            </w:pPr>
          </w:p>
        </w:tc>
        <w:tc>
          <w:tcPr>
            <w:tcW w:w="2273" w:type="dxa"/>
            <w:tcBorders>
              <w:tl2br w:val="nil"/>
              <w:tr2bl w:val="nil"/>
            </w:tcBorders>
            <w:noWrap/>
            <w:vAlign w:val="center"/>
          </w:tcPr>
          <w:p>
            <w:pPr>
              <w:pStyle w:val="8"/>
              <w:spacing w:line="360" w:lineRule="auto"/>
              <w:ind w:left="0"/>
              <w:jc w:val="center"/>
              <w:rPr>
                <w:rFonts w:asciiTheme="minorEastAsia" w:hAnsiTheme="minorEastAsia" w:eastAsiaTheme="minorEastAsia" w:cstheme="minorEastAsia"/>
                <w:sz w:val="21"/>
                <w:szCs w:val="21"/>
                <w:lang w:val="en-U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377" w:type="dxa"/>
            <w:tcBorders>
              <w:tl2br w:val="nil"/>
              <w:tr2bl w:val="nil"/>
            </w:tcBorders>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开州区公安局</w:t>
            </w:r>
          </w:p>
        </w:tc>
        <w:tc>
          <w:tcPr>
            <w:tcW w:w="1995" w:type="dxa"/>
            <w:tcBorders>
              <w:tl2br w:val="nil"/>
              <w:tr2bl w:val="nil"/>
            </w:tcBorders>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023-52124110</w:t>
            </w:r>
          </w:p>
        </w:tc>
        <w:tc>
          <w:tcPr>
            <w:tcW w:w="2273" w:type="dxa"/>
            <w:tcBorders>
              <w:tl2br w:val="nil"/>
              <w:tr2bl w:val="nil"/>
            </w:tcBorders>
            <w:noWrap/>
            <w:vAlign w:val="center"/>
          </w:tcPr>
          <w:p>
            <w:pPr>
              <w:pStyle w:val="8"/>
              <w:spacing w:line="360" w:lineRule="auto"/>
              <w:ind w:left="0"/>
              <w:jc w:val="center"/>
              <w:rPr>
                <w:rFonts w:asciiTheme="minorEastAsia" w:hAnsiTheme="minorEastAsia" w:eastAsiaTheme="minorEastAsia" w:cstheme="minorEastAsia"/>
                <w:sz w:val="21"/>
                <w:szCs w:val="21"/>
                <w:lang w:val="en-US"/>
              </w:rPr>
            </w:pPr>
          </w:p>
        </w:tc>
        <w:tc>
          <w:tcPr>
            <w:tcW w:w="2273" w:type="dxa"/>
            <w:tcBorders>
              <w:tl2br w:val="nil"/>
              <w:tr2bl w:val="nil"/>
            </w:tcBorders>
            <w:noWrap/>
            <w:vAlign w:val="center"/>
          </w:tcPr>
          <w:p>
            <w:pPr>
              <w:pStyle w:val="8"/>
              <w:spacing w:line="360" w:lineRule="auto"/>
              <w:ind w:left="0"/>
              <w:jc w:val="center"/>
              <w:rPr>
                <w:rFonts w:asciiTheme="minorEastAsia" w:hAnsiTheme="minorEastAsia" w:eastAsiaTheme="minorEastAsia" w:cstheme="minorEastAsia"/>
                <w:sz w:val="21"/>
                <w:szCs w:val="21"/>
                <w:lang w:val="en-U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377" w:type="dxa"/>
            <w:tcBorders>
              <w:tl2br w:val="nil"/>
              <w:tr2bl w:val="nil"/>
            </w:tcBorders>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开州区应急管理局</w:t>
            </w:r>
          </w:p>
        </w:tc>
        <w:tc>
          <w:tcPr>
            <w:tcW w:w="1995" w:type="dxa"/>
            <w:tcBorders>
              <w:tl2br w:val="nil"/>
              <w:tr2bl w:val="nil"/>
            </w:tcBorders>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023-52999332</w:t>
            </w:r>
          </w:p>
        </w:tc>
        <w:tc>
          <w:tcPr>
            <w:tcW w:w="2273" w:type="dxa"/>
            <w:tcBorders>
              <w:tl2br w:val="nil"/>
              <w:tr2bl w:val="nil"/>
            </w:tcBorders>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023-52288020</w:t>
            </w:r>
          </w:p>
        </w:tc>
        <w:tc>
          <w:tcPr>
            <w:tcW w:w="2273" w:type="dxa"/>
            <w:tcBorders>
              <w:tl2br w:val="nil"/>
              <w:tr2bl w:val="nil"/>
            </w:tcBorders>
            <w:noWrap/>
            <w:vAlign w:val="center"/>
          </w:tcPr>
          <w:p>
            <w:pPr>
              <w:pStyle w:val="8"/>
              <w:spacing w:line="360" w:lineRule="auto"/>
              <w:ind w:left="0"/>
              <w:jc w:val="center"/>
              <w:rPr>
                <w:rFonts w:asciiTheme="minorEastAsia" w:hAnsiTheme="minorEastAsia" w:eastAsiaTheme="minorEastAsia" w:cstheme="minorEastAsia"/>
                <w:sz w:val="21"/>
                <w:szCs w:val="21"/>
                <w:lang w:val="en-U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377" w:type="dxa"/>
            <w:tcBorders>
              <w:tl2br w:val="nil"/>
              <w:tr2bl w:val="nil"/>
            </w:tcBorders>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开州区生态环境局</w:t>
            </w:r>
          </w:p>
        </w:tc>
        <w:tc>
          <w:tcPr>
            <w:tcW w:w="1995" w:type="dxa"/>
            <w:tcBorders>
              <w:tl2br w:val="nil"/>
              <w:tr2bl w:val="nil"/>
            </w:tcBorders>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023-52116111</w:t>
            </w:r>
          </w:p>
        </w:tc>
        <w:tc>
          <w:tcPr>
            <w:tcW w:w="2273" w:type="dxa"/>
            <w:tcBorders>
              <w:tl2br w:val="nil"/>
              <w:tr2bl w:val="nil"/>
            </w:tcBorders>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023-52218800</w:t>
            </w:r>
          </w:p>
        </w:tc>
        <w:tc>
          <w:tcPr>
            <w:tcW w:w="2273" w:type="dxa"/>
            <w:tcBorders>
              <w:tl2br w:val="nil"/>
              <w:tr2bl w:val="nil"/>
            </w:tcBorders>
            <w:noWrap/>
            <w:vAlign w:val="center"/>
          </w:tcPr>
          <w:p>
            <w:pPr>
              <w:pStyle w:val="8"/>
              <w:spacing w:line="360" w:lineRule="auto"/>
              <w:ind w:left="0"/>
              <w:jc w:val="center"/>
              <w:rPr>
                <w:rFonts w:asciiTheme="minorEastAsia" w:hAnsiTheme="minorEastAsia" w:eastAsiaTheme="minorEastAsia" w:cstheme="minorEastAsia"/>
                <w:sz w:val="21"/>
                <w:szCs w:val="21"/>
                <w:lang w:val="en-U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377" w:type="dxa"/>
            <w:tcBorders>
              <w:tl2br w:val="nil"/>
              <w:tr2bl w:val="nil"/>
            </w:tcBorders>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开州区水利局</w:t>
            </w:r>
          </w:p>
        </w:tc>
        <w:tc>
          <w:tcPr>
            <w:tcW w:w="1995" w:type="dxa"/>
            <w:tcBorders>
              <w:tl2br w:val="nil"/>
              <w:tr2bl w:val="nil"/>
            </w:tcBorders>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023-52222196</w:t>
            </w:r>
          </w:p>
        </w:tc>
        <w:tc>
          <w:tcPr>
            <w:tcW w:w="2273" w:type="dxa"/>
            <w:tcBorders>
              <w:tl2br w:val="nil"/>
              <w:tr2bl w:val="nil"/>
            </w:tcBorders>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023-85926000</w:t>
            </w:r>
          </w:p>
        </w:tc>
        <w:tc>
          <w:tcPr>
            <w:tcW w:w="2273" w:type="dxa"/>
            <w:tcBorders>
              <w:tl2br w:val="nil"/>
              <w:tr2bl w:val="nil"/>
            </w:tcBorders>
            <w:noWrap/>
            <w:vAlign w:val="center"/>
          </w:tcPr>
          <w:p>
            <w:pPr>
              <w:pStyle w:val="8"/>
              <w:spacing w:line="360" w:lineRule="auto"/>
              <w:ind w:left="0"/>
              <w:jc w:val="center"/>
              <w:rPr>
                <w:rFonts w:asciiTheme="minorEastAsia" w:hAnsiTheme="minorEastAsia" w:eastAsiaTheme="minorEastAsia" w:cstheme="minorEastAsia"/>
                <w:sz w:val="21"/>
                <w:szCs w:val="21"/>
                <w:lang w:val="en-U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377" w:type="dxa"/>
            <w:tcBorders>
              <w:tl2br w:val="nil"/>
              <w:tr2bl w:val="nil"/>
            </w:tcBorders>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开州区城市管理局</w:t>
            </w:r>
          </w:p>
        </w:tc>
        <w:tc>
          <w:tcPr>
            <w:tcW w:w="1995" w:type="dxa"/>
            <w:tcBorders>
              <w:tl2br w:val="nil"/>
              <w:tr2bl w:val="nil"/>
            </w:tcBorders>
            <w:noWrap/>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023-52688003</w:t>
            </w:r>
          </w:p>
        </w:tc>
        <w:tc>
          <w:tcPr>
            <w:tcW w:w="2273" w:type="dxa"/>
            <w:tcBorders>
              <w:tl2br w:val="nil"/>
              <w:tr2bl w:val="nil"/>
            </w:tcBorders>
            <w:noWrap/>
            <w:vAlign w:val="center"/>
          </w:tcPr>
          <w:p>
            <w:pPr>
              <w:pStyle w:val="8"/>
              <w:spacing w:line="360" w:lineRule="auto"/>
              <w:ind w:left="0"/>
              <w:jc w:val="center"/>
              <w:rPr>
                <w:rFonts w:asciiTheme="minorEastAsia" w:hAnsiTheme="minorEastAsia" w:eastAsiaTheme="minorEastAsia" w:cstheme="minorEastAsia"/>
                <w:sz w:val="21"/>
                <w:szCs w:val="21"/>
                <w:lang w:val="en-US"/>
              </w:rPr>
            </w:pPr>
          </w:p>
        </w:tc>
        <w:tc>
          <w:tcPr>
            <w:tcW w:w="2273" w:type="dxa"/>
            <w:tcBorders>
              <w:tl2br w:val="nil"/>
              <w:tr2bl w:val="nil"/>
            </w:tcBorders>
            <w:noWrap/>
            <w:vAlign w:val="center"/>
          </w:tcPr>
          <w:p>
            <w:pPr>
              <w:pStyle w:val="8"/>
              <w:spacing w:line="360" w:lineRule="auto"/>
              <w:ind w:left="0"/>
              <w:jc w:val="center"/>
              <w:rPr>
                <w:rFonts w:asciiTheme="minorEastAsia" w:hAnsiTheme="minorEastAsia" w:eastAsiaTheme="minorEastAsia" w:cstheme="minorEastAsia"/>
                <w:sz w:val="21"/>
                <w:szCs w:val="21"/>
                <w:lang w:val="en-U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377" w:type="dxa"/>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满月乡人民政府</w:t>
            </w:r>
          </w:p>
        </w:tc>
        <w:tc>
          <w:tcPr>
            <w:tcW w:w="1995" w:type="dxa"/>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023-52466001</w:t>
            </w:r>
          </w:p>
        </w:tc>
        <w:tc>
          <w:tcPr>
            <w:tcW w:w="2273" w:type="dxa"/>
            <w:vAlign w:val="center"/>
          </w:tcPr>
          <w:p>
            <w:pPr>
              <w:pStyle w:val="8"/>
              <w:spacing w:line="360" w:lineRule="auto"/>
              <w:ind w:left="0"/>
              <w:jc w:val="center"/>
              <w:rPr>
                <w:rFonts w:asciiTheme="minorEastAsia" w:hAnsiTheme="minorEastAsia" w:eastAsiaTheme="minorEastAsia" w:cstheme="minorEastAsia"/>
                <w:sz w:val="21"/>
                <w:szCs w:val="21"/>
                <w:lang w:val="en-US"/>
              </w:rPr>
            </w:pPr>
          </w:p>
        </w:tc>
        <w:tc>
          <w:tcPr>
            <w:tcW w:w="2273" w:type="dxa"/>
            <w:vAlign w:val="center"/>
          </w:tcPr>
          <w:p>
            <w:pPr>
              <w:pStyle w:val="8"/>
              <w:spacing w:line="360" w:lineRule="auto"/>
              <w:ind w:left="0"/>
              <w:jc w:val="center"/>
              <w:rPr>
                <w:rFonts w:asciiTheme="minorEastAsia" w:hAnsiTheme="minorEastAsia" w:eastAsiaTheme="minorEastAsia" w:cstheme="minorEastAsia"/>
                <w:sz w:val="21"/>
                <w:szCs w:val="21"/>
                <w:lang w:val="en-U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377" w:type="dxa"/>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满月乡派出所</w:t>
            </w:r>
          </w:p>
        </w:tc>
        <w:tc>
          <w:tcPr>
            <w:tcW w:w="1995" w:type="dxa"/>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023-52445068</w:t>
            </w:r>
          </w:p>
        </w:tc>
        <w:tc>
          <w:tcPr>
            <w:tcW w:w="2273" w:type="dxa"/>
            <w:vAlign w:val="center"/>
          </w:tcPr>
          <w:p>
            <w:pPr>
              <w:pStyle w:val="8"/>
              <w:spacing w:line="360" w:lineRule="auto"/>
              <w:ind w:left="0"/>
              <w:jc w:val="center"/>
              <w:rPr>
                <w:rFonts w:asciiTheme="minorEastAsia" w:hAnsiTheme="minorEastAsia" w:eastAsiaTheme="minorEastAsia" w:cstheme="minorEastAsia"/>
                <w:sz w:val="21"/>
                <w:szCs w:val="21"/>
                <w:lang w:val="en-US"/>
              </w:rPr>
            </w:pPr>
          </w:p>
        </w:tc>
        <w:tc>
          <w:tcPr>
            <w:tcW w:w="2273" w:type="dxa"/>
            <w:vAlign w:val="center"/>
          </w:tcPr>
          <w:p>
            <w:pPr>
              <w:pStyle w:val="8"/>
              <w:spacing w:line="360" w:lineRule="auto"/>
              <w:ind w:left="0"/>
              <w:jc w:val="center"/>
              <w:rPr>
                <w:rFonts w:asciiTheme="minorEastAsia" w:hAnsiTheme="minorEastAsia" w:eastAsiaTheme="minorEastAsia" w:cstheme="minorEastAsia"/>
                <w:sz w:val="21"/>
                <w:szCs w:val="21"/>
                <w:lang w:val="en-U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377" w:type="dxa"/>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满月乡卫生院</w:t>
            </w:r>
          </w:p>
        </w:tc>
        <w:tc>
          <w:tcPr>
            <w:tcW w:w="1995" w:type="dxa"/>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023-52445513</w:t>
            </w:r>
          </w:p>
        </w:tc>
        <w:tc>
          <w:tcPr>
            <w:tcW w:w="2273" w:type="dxa"/>
            <w:vAlign w:val="center"/>
          </w:tcPr>
          <w:p>
            <w:pPr>
              <w:pStyle w:val="8"/>
              <w:spacing w:line="360" w:lineRule="auto"/>
              <w:ind w:left="0"/>
              <w:jc w:val="center"/>
              <w:rPr>
                <w:rFonts w:asciiTheme="minorEastAsia" w:hAnsiTheme="minorEastAsia" w:eastAsiaTheme="minorEastAsia" w:cstheme="minorEastAsia"/>
                <w:sz w:val="21"/>
                <w:szCs w:val="21"/>
                <w:lang w:val="en-US"/>
              </w:rPr>
            </w:pPr>
          </w:p>
        </w:tc>
        <w:tc>
          <w:tcPr>
            <w:tcW w:w="2273" w:type="dxa"/>
            <w:vAlign w:val="center"/>
          </w:tcPr>
          <w:p>
            <w:pPr>
              <w:pStyle w:val="8"/>
              <w:spacing w:line="360" w:lineRule="auto"/>
              <w:ind w:left="0"/>
              <w:jc w:val="center"/>
              <w:rPr>
                <w:rFonts w:asciiTheme="minorEastAsia" w:hAnsiTheme="minorEastAsia" w:eastAsiaTheme="minorEastAsia" w:cstheme="minorEastAsia"/>
                <w:sz w:val="21"/>
                <w:szCs w:val="21"/>
                <w:lang w:val="en-U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377" w:type="dxa"/>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重庆市开州区满月水厂</w:t>
            </w:r>
          </w:p>
        </w:tc>
        <w:tc>
          <w:tcPr>
            <w:tcW w:w="1995" w:type="dxa"/>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15025597773</w:t>
            </w:r>
          </w:p>
        </w:tc>
        <w:tc>
          <w:tcPr>
            <w:tcW w:w="2273" w:type="dxa"/>
            <w:vAlign w:val="center"/>
          </w:tcPr>
          <w:p>
            <w:pPr>
              <w:pStyle w:val="8"/>
              <w:spacing w:line="360" w:lineRule="auto"/>
              <w:ind w:left="0"/>
              <w:jc w:val="center"/>
              <w:rPr>
                <w:rFonts w:asciiTheme="minorEastAsia" w:hAnsiTheme="minorEastAsia" w:eastAsiaTheme="minorEastAsia" w:cstheme="minorEastAsia"/>
                <w:sz w:val="21"/>
                <w:szCs w:val="21"/>
                <w:lang w:val="en-US"/>
              </w:rPr>
            </w:pPr>
          </w:p>
        </w:tc>
        <w:tc>
          <w:tcPr>
            <w:tcW w:w="2273" w:type="dxa"/>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满月水厂负责人电话</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377" w:type="dxa"/>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蒋勤军</w:t>
            </w:r>
          </w:p>
        </w:tc>
        <w:tc>
          <w:tcPr>
            <w:tcW w:w="1995" w:type="dxa"/>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18716798299</w:t>
            </w:r>
          </w:p>
        </w:tc>
        <w:tc>
          <w:tcPr>
            <w:tcW w:w="2273" w:type="dxa"/>
            <w:vAlign w:val="center"/>
          </w:tcPr>
          <w:p>
            <w:pPr>
              <w:pStyle w:val="8"/>
              <w:spacing w:line="360" w:lineRule="auto"/>
              <w:ind w:left="0"/>
              <w:jc w:val="center"/>
              <w:rPr>
                <w:rFonts w:asciiTheme="minorEastAsia" w:hAnsiTheme="minorEastAsia" w:eastAsiaTheme="minorEastAsia" w:cstheme="minorEastAsia"/>
                <w:sz w:val="21"/>
                <w:szCs w:val="21"/>
                <w:lang w:val="en-US"/>
              </w:rPr>
            </w:pPr>
          </w:p>
        </w:tc>
        <w:tc>
          <w:tcPr>
            <w:tcW w:w="2273" w:type="dxa"/>
            <w:vAlign w:val="center"/>
          </w:tcPr>
          <w:p>
            <w:pPr>
              <w:pStyle w:val="8"/>
              <w:spacing w:line="360" w:lineRule="auto"/>
              <w:ind w:left="0"/>
              <w:jc w:val="center"/>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饮用水源地周边人员</w:t>
            </w:r>
          </w:p>
        </w:tc>
      </w:tr>
    </w:tbl>
    <w:p>
      <w:pPr>
        <w:pStyle w:val="8"/>
        <w:spacing w:line="360" w:lineRule="auto"/>
        <w:ind w:left="0"/>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br w:type="page"/>
      </w:r>
    </w:p>
    <w:p>
      <w:pPr>
        <w:pStyle w:val="8"/>
        <w:spacing w:line="360" w:lineRule="auto"/>
        <w:ind w:left="0"/>
        <w:outlineLvl w:val="1"/>
        <w:rPr>
          <w:rFonts w:asciiTheme="minorEastAsia" w:hAnsiTheme="minorEastAsia" w:eastAsiaTheme="minorEastAsia" w:cstheme="minorEastAsia"/>
          <w:b/>
          <w:bCs/>
          <w:sz w:val="28"/>
          <w:szCs w:val="28"/>
        </w:rPr>
      </w:pPr>
      <w:bookmarkStart w:id="80" w:name="_Toc1600_WPSOffice_Level1"/>
      <w:bookmarkStart w:id="81" w:name="_Toc9362"/>
      <w:bookmarkStart w:id="82" w:name="_Toc8102_WPSOffice_Level1"/>
      <w:bookmarkStart w:id="83" w:name="_Toc14510_WPSOffice_Level1"/>
      <w:bookmarkStart w:id="84" w:name="_Toc28802_WPSOffice_Level1"/>
      <w:bookmarkStart w:id="85" w:name="_Toc23327_WPSOffice_Level1"/>
      <w:bookmarkStart w:id="86" w:name="_Toc1225_WPSOffice_Level1"/>
      <w:bookmarkStart w:id="87" w:name="_Toc26146"/>
      <w:bookmarkStart w:id="88" w:name="_Toc21385"/>
      <w:r>
        <w:rPr>
          <w:rFonts w:hint="eastAsia" w:asciiTheme="minorEastAsia" w:hAnsiTheme="minorEastAsia" w:eastAsiaTheme="minorEastAsia" w:cstheme="minorEastAsia"/>
          <w:b/>
          <w:bCs/>
          <w:sz w:val="28"/>
          <w:szCs w:val="28"/>
        </w:rPr>
        <w:t>附件</w:t>
      </w:r>
      <w:r>
        <w:rPr>
          <w:rFonts w:hint="eastAsia" w:asciiTheme="minorEastAsia" w:hAnsiTheme="minorEastAsia" w:eastAsiaTheme="minorEastAsia" w:cstheme="minorEastAsia"/>
          <w:b/>
          <w:bCs/>
          <w:sz w:val="28"/>
          <w:szCs w:val="28"/>
          <w:lang w:val="en-US"/>
        </w:rPr>
        <w:t>四：</w:t>
      </w:r>
      <w:r>
        <w:rPr>
          <w:rFonts w:hint="eastAsia" w:asciiTheme="minorEastAsia" w:hAnsiTheme="minorEastAsia" w:eastAsiaTheme="minorEastAsia" w:cstheme="minorEastAsia"/>
          <w:b/>
          <w:bCs/>
          <w:sz w:val="28"/>
          <w:szCs w:val="28"/>
        </w:rPr>
        <w:t>应急救援物资一览表</w:t>
      </w:r>
      <w:bookmarkEnd w:id="80"/>
      <w:bookmarkEnd w:id="81"/>
      <w:bookmarkEnd w:id="82"/>
      <w:bookmarkEnd w:id="83"/>
      <w:bookmarkEnd w:id="84"/>
      <w:bookmarkEnd w:id="85"/>
      <w:bookmarkEnd w:id="86"/>
      <w:bookmarkEnd w:id="87"/>
      <w:bookmarkEnd w:id="88"/>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420"/>
        <w:gridCol w:w="1420"/>
        <w:gridCol w:w="1420"/>
        <w:gridCol w:w="142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Align w:val="center"/>
          </w:tcPr>
          <w:p>
            <w:pPr>
              <w:pStyle w:val="33"/>
              <w:autoSpaceDE w:val="0"/>
              <w:autoSpaceDN w:val="0"/>
              <w:spacing w:line="360" w:lineRule="auto"/>
              <w:rPr>
                <w:lang w:val="en-US"/>
              </w:rPr>
            </w:pPr>
            <w:r>
              <w:rPr>
                <w:rFonts w:hint="eastAsia"/>
              </w:rPr>
              <w:t>序号</w:t>
            </w:r>
          </w:p>
        </w:tc>
        <w:tc>
          <w:tcPr>
            <w:tcW w:w="1420" w:type="dxa"/>
            <w:vAlign w:val="center"/>
          </w:tcPr>
          <w:p>
            <w:pPr>
              <w:pStyle w:val="33"/>
              <w:autoSpaceDE w:val="0"/>
              <w:autoSpaceDN w:val="0"/>
              <w:spacing w:line="360" w:lineRule="auto"/>
              <w:rPr>
                <w:lang w:val="en-US"/>
              </w:rPr>
            </w:pPr>
            <w:r>
              <w:rPr>
                <w:rFonts w:hint="eastAsia"/>
              </w:rPr>
              <w:t>名称</w:t>
            </w:r>
          </w:p>
        </w:tc>
        <w:tc>
          <w:tcPr>
            <w:tcW w:w="1420" w:type="dxa"/>
            <w:vAlign w:val="center"/>
          </w:tcPr>
          <w:p>
            <w:pPr>
              <w:pStyle w:val="33"/>
              <w:autoSpaceDE w:val="0"/>
              <w:autoSpaceDN w:val="0"/>
              <w:spacing w:line="360" w:lineRule="auto"/>
              <w:rPr>
                <w:spacing w:val="-5"/>
                <w:lang w:val="en-US"/>
              </w:rPr>
            </w:pPr>
            <w:r>
              <w:rPr>
                <w:rFonts w:hint="eastAsia"/>
                <w:spacing w:val="-5"/>
              </w:rPr>
              <w:t>数量（套/张/个）</w:t>
            </w:r>
          </w:p>
        </w:tc>
        <w:tc>
          <w:tcPr>
            <w:tcW w:w="1420" w:type="dxa"/>
            <w:vAlign w:val="center"/>
          </w:tcPr>
          <w:p>
            <w:pPr>
              <w:pStyle w:val="33"/>
              <w:autoSpaceDE w:val="0"/>
              <w:autoSpaceDN w:val="0"/>
              <w:spacing w:line="360" w:lineRule="auto"/>
              <w:rPr>
                <w:spacing w:val="-5"/>
                <w:lang w:val="en-US"/>
              </w:rPr>
            </w:pPr>
            <w:r>
              <w:rPr>
                <w:rFonts w:hint="eastAsia"/>
                <w:spacing w:val="-5"/>
                <w:lang w:val="en-US"/>
              </w:rPr>
              <w:t>存储地点</w:t>
            </w:r>
          </w:p>
        </w:tc>
        <w:tc>
          <w:tcPr>
            <w:tcW w:w="1421" w:type="dxa"/>
            <w:vAlign w:val="center"/>
          </w:tcPr>
          <w:p>
            <w:pPr>
              <w:pStyle w:val="33"/>
              <w:autoSpaceDE w:val="0"/>
              <w:autoSpaceDN w:val="0"/>
              <w:spacing w:line="360" w:lineRule="auto"/>
              <w:rPr>
                <w:spacing w:val="-5"/>
                <w:lang w:val="en-US"/>
              </w:rPr>
            </w:pPr>
            <w:r>
              <w:rPr>
                <w:rFonts w:hint="eastAsia"/>
                <w:spacing w:val="-5"/>
                <w:lang w:val="en-US"/>
              </w:rPr>
              <w:t>责任人</w:t>
            </w:r>
          </w:p>
        </w:tc>
        <w:tc>
          <w:tcPr>
            <w:tcW w:w="1421" w:type="dxa"/>
            <w:vAlign w:val="center"/>
          </w:tcPr>
          <w:p>
            <w:pPr>
              <w:pStyle w:val="33"/>
              <w:autoSpaceDE w:val="0"/>
              <w:autoSpaceDN w:val="0"/>
              <w:spacing w:line="360" w:lineRule="auto"/>
              <w:rPr>
                <w:spacing w:val="-5"/>
                <w:lang w:val="en-US"/>
              </w:rPr>
            </w:pPr>
            <w:r>
              <w:rPr>
                <w:rFonts w:hint="eastAsia"/>
                <w:spacing w:val="-5"/>
                <w:lang w:val="en-US"/>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Align w:val="center"/>
          </w:tcPr>
          <w:p>
            <w:pPr>
              <w:pStyle w:val="33"/>
              <w:autoSpaceDE w:val="0"/>
              <w:autoSpaceDN w:val="0"/>
              <w:spacing w:line="360" w:lineRule="auto"/>
              <w:rPr>
                <w:lang w:val="en-US"/>
              </w:rPr>
            </w:pPr>
            <w:r>
              <w:rPr>
                <w:rFonts w:hint="eastAsia"/>
              </w:rPr>
              <w:t>1</w:t>
            </w:r>
          </w:p>
        </w:tc>
        <w:tc>
          <w:tcPr>
            <w:tcW w:w="1420" w:type="dxa"/>
            <w:vAlign w:val="center"/>
          </w:tcPr>
          <w:p>
            <w:pPr>
              <w:pStyle w:val="33"/>
              <w:autoSpaceDE w:val="0"/>
              <w:autoSpaceDN w:val="0"/>
              <w:spacing w:line="360" w:lineRule="auto"/>
              <w:rPr>
                <w:lang w:val="en-US"/>
              </w:rPr>
            </w:pPr>
            <w:r>
              <w:rPr>
                <w:rFonts w:hint="eastAsia"/>
                <w:lang w:val="en-US"/>
              </w:rPr>
              <w:t>应急指挥车</w:t>
            </w:r>
          </w:p>
        </w:tc>
        <w:tc>
          <w:tcPr>
            <w:tcW w:w="1420" w:type="dxa"/>
            <w:vAlign w:val="center"/>
          </w:tcPr>
          <w:p>
            <w:pPr>
              <w:pStyle w:val="33"/>
              <w:autoSpaceDE w:val="0"/>
              <w:autoSpaceDN w:val="0"/>
              <w:spacing w:line="360" w:lineRule="auto"/>
              <w:rPr>
                <w:spacing w:val="-5"/>
                <w:lang w:val="en-US"/>
              </w:rPr>
            </w:pPr>
            <w:r>
              <w:rPr>
                <w:rFonts w:hint="eastAsia"/>
                <w:spacing w:val="-5"/>
                <w:lang w:val="en-US"/>
              </w:rPr>
              <w:t>1</w:t>
            </w:r>
          </w:p>
        </w:tc>
        <w:tc>
          <w:tcPr>
            <w:tcW w:w="1420" w:type="dxa"/>
            <w:vAlign w:val="center"/>
          </w:tcPr>
          <w:p>
            <w:pPr>
              <w:pStyle w:val="33"/>
              <w:autoSpaceDE w:val="0"/>
              <w:autoSpaceDN w:val="0"/>
              <w:spacing w:line="360" w:lineRule="auto"/>
              <w:rPr>
                <w:lang w:val="en-US"/>
              </w:rPr>
            </w:pPr>
            <w:r>
              <w:rPr>
                <w:rFonts w:hint="eastAsia"/>
                <w:lang w:val="en-US"/>
              </w:rPr>
              <w:t>满月镇镇政府库房</w:t>
            </w:r>
          </w:p>
        </w:tc>
        <w:tc>
          <w:tcPr>
            <w:tcW w:w="1421" w:type="dxa"/>
            <w:vAlign w:val="center"/>
          </w:tcPr>
          <w:p>
            <w:pPr>
              <w:autoSpaceDE w:val="0"/>
              <w:autoSpaceDN w:val="0"/>
              <w:spacing w:line="360" w:lineRule="auto"/>
              <w:jc w:val="center"/>
              <w:rPr>
                <w:rFonts w:ascii="宋体" w:hAnsi="宋体" w:cs="宋体"/>
                <w:kern w:val="0"/>
                <w:lang w:bidi="zh-CN"/>
              </w:rPr>
            </w:pPr>
            <w:r>
              <w:rPr>
                <w:rFonts w:hint="eastAsia" w:cs="宋体"/>
                <w:kern w:val="0"/>
              </w:rPr>
              <w:t>王孝聪</w:t>
            </w:r>
          </w:p>
        </w:tc>
        <w:tc>
          <w:tcPr>
            <w:tcW w:w="1421" w:type="dxa"/>
            <w:vAlign w:val="center"/>
          </w:tcPr>
          <w:p>
            <w:pPr>
              <w:autoSpaceDE w:val="0"/>
              <w:autoSpaceDN w:val="0"/>
              <w:spacing w:line="360" w:lineRule="auto"/>
              <w:jc w:val="center"/>
              <w:rPr>
                <w:rFonts w:ascii="宋体" w:hAnsi="宋体" w:cs="宋体"/>
                <w:kern w:val="0"/>
                <w:lang w:bidi="zh-CN"/>
              </w:rPr>
            </w:pPr>
            <w:r>
              <w:rPr>
                <w:rFonts w:hint="eastAsia" w:cs="宋体"/>
                <w:kern w:val="0"/>
              </w:rPr>
              <w:t>19123592555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Align w:val="center"/>
          </w:tcPr>
          <w:p>
            <w:pPr>
              <w:pStyle w:val="33"/>
              <w:autoSpaceDE w:val="0"/>
              <w:autoSpaceDN w:val="0"/>
              <w:spacing w:line="360" w:lineRule="auto"/>
              <w:rPr>
                <w:lang w:val="en-US"/>
              </w:rPr>
            </w:pPr>
            <w:r>
              <w:rPr>
                <w:rFonts w:hint="eastAsia"/>
              </w:rPr>
              <w:t>2</w:t>
            </w:r>
          </w:p>
        </w:tc>
        <w:tc>
          <w:tcPr>
            <w:tcW w:w="1420" w:type="dxa"/>
            <w:vAlign w:val="center"/>
          </w:tcPr>
          <w:p>
            <w:pPr>
              <w:pStyle w:val="33"/>
              <w:autoSpaceDE w:val="0"/>
              <w:autoSpaceDN w:val="0"/>
              <w:spacing w:line="360" w:lineRule="auto"/>
              <w:rPr>
                <w:lang w:val="en-US"/>
              </w:rPr>
            </w:pPr>
            <w:r>
              <w:rPr>
                <w:rFonts w:hint="eastAsia"/>
                <w:lang w:val="en-US"/>
              </w:rPr>
              <w:t>医用急救箱</w:t>
            </w:r>
          </w:p>
        </w:tc>
        <w:tc>
          <w:tcPr>
            <w:tcW w:w="1420" w:type="dxa"/>
            <w:vAlign w:val="center"/>
          </w:tcPr>
          <w:p>
            <w:pPr>
              <w:pStyle w:val="33"/>
              <w:autoSpaceDE w:val="0"/>
              <w:autoSpaceDN w:val="0"/>
              <w:spacing w:line="360" w:lineRule="auto"/>
              <w:rPr>
                <w:spacing w:val="-5"/>
                <w:lang w:val="en-US"/>
              </w:rPr>
            </w:pPr>
            <w:r>
              <w:rPr>
                <w:rFonts w:hint="eastAsia"/>
                <w:spacing w:val="-5"/>
                <w:lang w:val="en-US"/>
              </w:rPr>
              <w:t>5</w:t>
            </w:r>
          </w:p>
        </w:tc>
        <w:tc>
          <w:tcPr>
            <w:tcW w:w="1420" w:type="dxa"/>
            <w:vAlign w:val="center"/>
          </w:tcPr>
          <w:p>
            <w:pPr>
              <w:autoSpaceDE w:val="0"/>
              <w:autoSpaceDN w:val="0"/>
              <w:spacing w:line="360" w:lineRule="auto"/>
              <w:jc w:val="center"/>
              <w:rPr>
                <w:rFonts w:ascii="宋体" w:hAnsi="宋体" w:cs="宋体"/>
              </w:rPr>
            </w:pPr>
            <w:r>
              <w:rPr>
                <w:rFonts w:hint="eastAsia" w:ascii="宋体" w:hAnsi="宋体" w:cs="宋体"/>
              </w:rPr>
              <w:t>满月镇镇政府库房</w:t>
            </w:r>
          </w:p>
        </w:tc>
        <w:tc>
          <w:tcPr>
            <w:tcW w:w="1421" w:type="dxa"/>
            <w:vAlign w:val="center"/>
          </w:tcPr>
          <w:p>
            <w:pPr>
              <w:autoSpaceDE w:val="0"/>
              <w:autoSpaceDN w:val="0"/>
              <w:spacing w:line="360" w:lineRule="auto"/>
              <w:jc w:val="center"/>
            </w:pPr>
            <w:r>
              <w:rPr>
                <w:rFonts w:hint="eastAsia" w:cs="宋体"/>
                <w:kern w:val="0"/>
              </w:rPr>
              <w:t>王孝聪</w:t>
            </w:r>
          </w:p>
        </w:tc>
        <w:tc>
          <w:tcPr>
            <w:tcW w:w="1421" w:type="dxa"/>
            <w:vAlign w:val="center"/>
          </w:tcPr>
          <w:p>
            <w:pPr>
              <w:autoSpaceDE w:val="0"/>
              <w:autoSpaceDN w:val="0"/>
              <w:spacing w:line="360" w:lineRule="auto"/>
              <w:jc w:val="center"/>
            </w:pPr>
            <w:r>
              <w:rPr>
                <w:rFonts w:hint="eastAsia" w:cs="宋体"/>
                <w:kern w:val="0"/>
              </w:rPr>
              <w:t>19123592555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Align w:val="center"/>
          </w:tcPr>
          <w:p>
            <w:pPr>
              <w:pStyle w:val="33"/>
              <w:autoSpaceDE w:val="0"/>
              <w:autoSpaceDN w:val="0"/>
              <w:spacing w:line="360" w:lineRule="auto"/>
              <w:rPr>
                <w:lang w:val="en-US"/>
              </w:rPr>
            </w:pPr>
            <w:r>
              <w:rPr>
                <w:rFonts w:hint="eastAsia"/>
              </w:rPr>
              <w:t>3</w:t>
            </w:r>
          </w:p>
        </w:tc>
        <w:tc>
          <w:tcPr>
            <w:tcW w:w="1420" w:type="dxa"/>
            <w:vAlign w:val="center"/>
          </w:tcPr>
          <w:p>
            <w:pPr>
              <w:pStyle w:val="33"/>
              <w:autoSpaceDE w:val="0"/>
              <w:autoSpaceDN w:val="0"/>
              <w:spacing w:line="360" w:lineRule="auto"/>
              <w:rPr>
                <w:lang w:val="en-US"/>
              </w:rPr>
            </w:pPr>
            <w:r>
              <w:rPr>
                <w:rFonts w:hint="eastAsia"/>
                <w:lang w:val="en-US"/>
              </w:rPr>
              <w:t>防爆照相机</w:t>
            </w:r>
          </w:p>
        </w:tc>
        <w:tc>
          <w:tcPr>
            <w:tcW w:w="1420" w:type="dxa"/>
            <w:vAlign w:val="center"/>
          </w:tcPr>
          <w:p>
            <w:pPr>
              <w:pStyle w:val="33"/>
              <w:autoSpaceDE w:val="0"/>
              <w:autoSpaceDN w:val="0"/>
              <w:spacing w:line="360" w:lineRule="auto"/>
              <w:rPr>
                <w:lang w:val="en-US"/>
              </w:rPr>
            </w:pPr>
            <w:r>
              <w:rPr>
                <w:rFonts w:hint="eastAsia"/>
                <w:lang w:val="en-US"/>
              </w:rPr>
              <w:t>1</w:t>
            </w:r>
          </w:p>
        </w:tc>
        <w:tc>
          <w:tcPr>
            <w:tcW w:w="1420" w:type="dxa"/>
            <w:vAlign w:val="center"/>
          </w:tcPr>
          <w:p>
            <w:pPr>
              <w:spacing w:line="360" w:lineRule="auto"/>
              <w:jc w:val="center"/>
            </w:pPr>
            <w:r>
              <w:rPr>
                <w:rFonts w:hint="eastAsia" w:ascii="宋体" w:hAnsi="宋体" w:cs="宋体"/>
              </w:rPr>
              <w:t>满月镇镇政府库房</w:t>
            </w:r>
          </w:p>
        </w:tc>
        <w:tc>
          <w:tcPr>
            <w:tcW w:w="1421" w:type="dxa"/>
            <w:vAlign w:val="center"/>
          </w:tcPr>
          <w:p>
            <w:pPr>
              <w:autoSpaceDE w:val="0"/>
              <w:autoSpaceDN w:val="0"/>
              <w:spacing w:line="360" w:lineRule="auto"/>
              <w:jc w:val="center"/>
            </w:pPr>
            <w:r>
              <w:rPr>
                <w:rFonts w:hint="eastAsia" w:cs="宋体"/>
                <w:kern w:val="0"/>
              </w:rPr>
              <w:t>王孝聪</w:t>
            </w:r>
          </w:p>
        </w:tc>
        <w:tc>
          <w:tcPr>
            <w:tcW w:w="1421" w:type="dxa"/>
            <w:vAlign w:val="center"/>
          </w:tcPr>
          <w:p>
            <w:pPr>
              <w:autoSpaceDE w:val="0"/>
              <w:autoSpaceDN w:val="0"/>
              <w:spacing w:line="360" w:lineRule="auto"/>
              <w:jc w:val="center"/>
            </w:pPr>
            <w:r>
              <w:rPr>
                <w:rFonts w:hint="eastAsia" w:cs="宋体"/>
                <w:kern w:val="0"/>
              </w:rPr>
              <w:t>19123592555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Align w:val="center"/>
          </w:tcPr>
          <w:p>
            <w:pPr>
              <w:pStyle w:val="33"/>
              <w:autoSpaceDE w:val="0"/>
              <w:autoSpaceDN w:val="0"/>
              <w:spacing w:line="360" w:lineRule="auto"/>
              <w:rPr>
                <w:lang w:val="en-US"/>
              </w:rPr>
            </w:pPr>
            <w:r>
              <w:rPr>
                <w:rFonts w:hint="eastAsia"/>
              </w:rPr>
              <w:t>4</w:t>
            </w:r>
          </w:p>
        </w:tc>
        <w:tc>
          <w:tcPr>
            <w:tcW w:w="1420" w:type="dxa"/>
            <w:vAlign w:val="center"/>
          </w:tcPr>
          <w:p>
            <w:pPr>
              <w:pStyle w:val="33"/>
              <w:autoSpaceDE w:val="0"/>
              <w:autoSpaceDN w:val="0"/>
              <w:spacing w:line="360" w:lineRule="auto"/>
              <w:rPr>
                <w:lang w:val="en-US"/>
              </w:rPr>
            </w:pPr>
            <w:r>
              <w:rPr>
                <w:rFonts w:hint="eastAsia"/>
                <w:lang w:val="en-US"/>
              </w:rPr>
              <w:t>防爆摄影机</w:t>
            </w:r>
          </w:p>
        </w:tc>
        <w:tc>
          <w:tcPr>
            <w:tcW w:w="1420" w:type="dxa"/>
            <w:vAlign w:val="center"/>
          </w:tcPr>
          <w:p>
            <w:pPr>
              <w:pStyle w:val="33"/>
              <w:autoSpaceDE w:val="0"/>
              <w:autoSpaceDN w:val="0"/>
              <w:spacing w:line="360" w:lineRule="auto"/>
              <w:rPr>
                <w:lang w:val="en-US"/>
              </w:rPr>
            </w:pPr>
            <w:r>
              <w:rPr>
                <w:rFonts w:hint="eastAsia"/>
                <w:lang w:val="en-US"/>
              </w:rPr>
              <w:t>1</w:t>
            </w:r>
          </w:p>
        </w:tc>
        <w:tc>
          <w:tcPr>
            <w:tcW w:w="1420" w:type="dxa"/>
            <w:vAlign w:val="center"/>
          </w:tcPr>
          <w:p>
            <w:pPr>
              <w:spacing w:line="360" w:lineRule="auto"/>
              <w:jc w:val="center"/>
            </w:pPr>
            <w:r>
              <w:rPr>
                <w:rFonts w:hint="eastAsia" w:ascii="宋体" w:hAnsi="宋体" w:cs="宋体"/>
              </w:rPr>
              <w:t>满月镇镇政府库房</w:t>
            </w:r>
          </w:p>
        </w:tc>
        <w:tc>
          <w:tcPr>
            <w:tcW w:w="1421" w:type="dxa"/>
            <w:vAlign w:val="center"/>
          </w:tcPr>
          <w:p>
            <w:pPr>
              <w:autoSpaceDE w:val="0"/>
              <w:autoSpaceDN w:val="0"/>
              <w:spacing w:line="360" w:lineRule="auto"/>
              <w:jc w:val="center"/>
            </w:pPr>
            <w:r>
              <w:rPr>
                <w:rFonts w:hint="eastAsia" w:cs="宋体"/>
                <w:kern w:val="0"/>
              </w:rPr>
              <w:t>王孝聪</w:t>
            </w:r>
          </w:p>
        </w:tc>
        <w:tc>
          <w:tcPr>
            <w:tcW w:w="1421" w:type="dxa"/>
            <w:vAlign w:val="center"/>
          </w:tcPr>
          <w:p>
            <w:pPr>
              <w:autoSpaceDE w:val="0"/>
              <w:autoSpaceDN w:val="0"/>
              <w:spacing w:line="360" w:lineRule="auto"/>
              <w:jc w:val="center"/>
            </w:pPr>
            <w:r>
              <w:rPr>
                <w:rFonts w:hint="eastAsia" w:cs="宋体"/>
                <w:kern w:val="0"/>
              </w:rPr>
              <w:t>19123592555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Align w:val="center"/>
          </w:tcPr>
          <w:p>
            <w:pPr>
              <w:pStyle w:val="33"/>
              <w:autoSpaceDE w:val="0"/>
              <w:autoSpaceDN w:val="0"/>
              <w:spacing w:line="360" w:lineRule="auto"/>
              <w:rPr>
                <w:lang w:val="en-US"/>
              </w:rPr>
            </w:pPr>
            <w:r>
              <w:rPr>
                <w:rFonts w:hint="eastAsia"/>
              </w:rPr>
              <w:t>5</w:t>
            </w:r>
          </w:p>
        </w:tc>
        <w:tc>
          <w:tcPr>
            <w:tcW w:w="1420" w:type="dxa"/>
            <w:vAlign w:val="center"/>
          </w:tcPr>
          <w:p>
            <w:pPr>
              <w:pStyle w:val="33"/>
              <w:autoSpaceDE w:val="0"/>
              <w:autoSpaceDN w:val="0"/>
              <w:spacing w:line="360" w:lineRule="auto"/>
              <w:rPr>
                <w:lang w:val="en-US"/>
              </w:rPr>
            </w:pPr>
            <w:r>
              <w:rPr>
                <w:rFonts w:hint="eastAsia"/>
                <w:lang w:val="en-US"/>
              </w:rPr>
              <w:t>环境应急无人机</w:t>
            </w:r>
          </w:p>
        </w:tc>
        <w:tc>
          <w:tcPr>
            <w:tcW w:w="1420" w:type="dxa"/>
            <w:vAlign w:val="center"/>
          </w:tcPr>
          <w:p>
            <w:pPr>
              <w:pStyle w:val="33"/>
              <w:autoSpaceDE w:val="0"/>
              <w:autoSpaceDN w:val="0"/>
              <w:spacing w:line="360" w:lineRule="auto"/>
              <w:rPr>
                <w:lang w:val="en-US"/>
              </w:rPr>
            </w:pPr>
            <w:r>
              <w:rPr>
                <w:rFonts w:hint="eastAsia"/>
                <w:lang w:val="en-US"/>
              </w:rPr>
              <w:t>1</w:t>
            </w:r>
          </w:p>
        </w:tc>
        <w:tc>
          <w:tcPr>
            <w:tcW w:w="1420" w:type="dxa"/>
            <w:vAlign w:val="center"/>
          </w:tcPr>
          <w:p>
            <w:pPr>
              <w:spacing w:line="360" w:lineRule="auto"/>
              <w:jc w:val="center"/>
            </w:pPr>
            <w:r>
              <w:rPr>
                <w:rFonts w:hint="eastAsia" w:ascii="宋体" w:hAnsi="宋体" w:cs="宋体"/>
              </w:rPr>
              <w:t>满月镇镇政府库房</w:t>
            </w:r>
          </w:p>
        </w:tc>
        <w:tc>
          <w:tcPr>
            <w:tcW w:w="1421" w:type="dxa"/>
            <w:vAlign w:val="center"/>
          </w:tcPr>
          <w:p>
            <w:pPr>
              <w:autoSpaceDE w:val="0"/>
              <w:autoSpaceDN w:val="0"/>
              <w:spacing w:line="360" w:lineRule="auto"/>
              <w:jc w:val="center"/>
            </w:pPr>
            <w:r>
              <w:rPr>
                <w:rFonts w:hint="eastAsia" w:cs="宋体"/>
                <w:kern w:val="0"/>
              </w:rPr>
              <w:t>王孝聪</w:t>
            </w:r>
          </w:p>
        </w:tc>
        <w:tc>
          <w:tcPr>
            <w:tcW w:w="1421" w:type="dxa"/>
            <w:vAlign w:val="center"/>
          </w:tcPr>
          <w:p>
            <w:pPr>
              <w:autoSpaceDE w:val="0"/>
              <w:autoSpaceDN w:val="0"/>
              <w:spacing w:line="360" w:lineRule="auto"/>
              <w:jc w:val="center"/>
            </w:pPr>
            <w:r>
              <w:rPr>
                <w:rFonts w:hint="eastAsia" w:cs="宋体"/>
                <w:kern w:val="0"/>
              </w:rPr>
              <w:t>19123592555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Align w:val="center"/>
          </w:tcPr>
          <w:p>
            <w:pPr>
              <w:pStyle w:val="33"/>
              <w:autoSpaceDE w:val="0"/>
              <w:autoSpaceDN w:val="0"/>
              <w:spacing w:line="360" w:lineRule="auto"/>
              <w:rPr>
                <w:lang w:val="en-US"/>
              </w:rPr>
            </w:pPr>
            <w:r>
              <w:rPr>
                <w:rFonts w:hint="eastAsia"/>
                <w:lang w:val="en-US"/>
              </w:rPr>
              <w:t>6</w:t>
            </w:r>
          </w:p>
        </w:tc>
        <w:tc>
          <w:tcPr>
            <w:tcW w:w="1420" w:type="dxa"/>
            <w:vAlign w:val="center"/>
          </w:tcPr>
          <w:p>
            <w:pPr>
              <w:pStyle w:val="33"/>
              <w:autoSpaceDE w:val="0"/>
              <w:autoSpaceDN w:val="0"/>
              <w:spacing w:line="360" w:lineRule="auto"/>
              <w:rPr>
                <w:lang w:val="en-US"/>
              </w:rPr>
            </w:pPr>
            <w:r>
              <w:rPr>
                <w:rFonts w:hint="eastAsia"/>
                <w:lang w:val="en-US"/>
              </w:rPr>
              <w:t>防爆对讲机</w:t>
            </w:r>
          </w:p>
        </w:tc>
        <w:tc>
          <w:tcPr>
            <w:tcW w:w="1420" w:type="dxa"/>
            <w:vAlign w:val="center"/>
          </w:tcPr>
          <w:p>
            <w:pPr>
              <w:pStyle w:val="33"/>
              <w:autoSpaceDE w:val="0"/>
              <w:autoSpaceDN w:val="0"/>
              <w:spacing w:line="360" w:lineRule="auto"/>
              <w:rPr>
                <w:lang w:val="en-US"/>
              </w:rPr>
            </w:pPr>
            <w:r>
              <w:rPr>
                <w:rFonts w:hint="eastAsia"/>
                <w:lang w:val="en-US"/>
              </w:rPr>
              <w:t>1</w:t>
            </w:r>
          </w:p>
        </w:tc>
        <w:tc>
          <w:tcPr>
            <w:tcW w:w="1420" w:type="dxa"/>
            <w:vAlign w:val="center"/>
          </w:tcPr>
          <w:p>
            <w:pPr>
              <w:spacing w:line="360" w:lineRule="auto"/>
              <w:jc w:val="center"/>
            </w:pPr>
            <w:r>
              <w:rPr>
                <w:rFonts w:hint="eastAsia" w:ascii="宋体" w:hAnsi="宋体" w:cs="宋体"/>
              </w:rPr>
              <w:t>满月镇镇政府库房</w:t>
            </w:r>
          </w:p>
        </w:tc>
        <w:tc>
          <w:tcPr>
            <w:tcW w:w="1421" w:type="dxa"/>
            <w:vAlign w:val="center"/>
          </w:tcPr>
          <w:p>
            <w:pPr>
              <w:autoSpaceDE w:val="0"/>
              <w:autoSpaceDN w:val="0"/>
              <w:spacing w:line="360" w:lineRule="auto"/>
              <w:jc w:val="center"/>
            </w:pPr>
            <w:r>
              <w:rPr>
                <w:rFonts w:hint="eastAsia" w:cs="宋体"/>
                <w:kern w:val="0"/>
              </w:rPr>
              <w:t>王孝聪</w:t>
            </w:r>
          </w:p>
        </w:tc>
        <w:tc>
          <w:tcPr>
            <w:tcW w:w="1421" w:type="dxa"/>
            <w:vAlign w:val="center"/>
          </w:tcPr>
          <w:p>
            <w:pPr>
              <w:autoSpaceDE w:val="0"/>
              <w:autoSpaceDN w:val="0"/>
              <w:spacing w:line="360" w:lineRule="auto"/>
              <w:jc w:val="center"/>
            </w:pPr>
            <w:r>
              <w:rPr>
                <w:rFonts w:hint="eastAsia" w:cs="宋体"/>
                <w:kern w:val="0"/>
              </w:rPr>
              <w:t>19123592555</w:t>
            </w:r>
          </w:p>
        </w:tc>
      </w:tr>
    </w:tbl>
    <w:p>
      <w:pPr>
        <w:pStyle w:val="8"/>
        <w:spacing w:line="360" w:lineRule="auto"/>
        <w:ind w:left="0"/>
        <w:rPr>
          <w:rFonts w:asciiTheme="minorEastAsia" w:hAnsiTheme="minorEastAsia" w:eastAsiaTheme="minorEastAsia" w:cstheme="minorEastAsia"/>
          <w:sz w:val="28"/>
          <w:szCs w:val="28"/>
        </w:rPr>
        <w:sectPr>
          <w:headerReference r:id="rId9" w:type="default"/>
          <w:footerReference r:id="rId10" w:type="default"/>
          <w:pgSz w:w="11906" w:h="16838"/>
          <w:pgMar w:top="1440" w:right="1800" w:bottom="1440" w:left="1800" w:header="851" w:footer="992" w:gutter="0"/>
          <w:cols w:space="425" w:num="1"/>
          <w:docGrid w:type="lines" w:linePitch="312" w:charSpace="0"/>
        </w:sect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pStyle w:val="2"/>
        <w:rPr>
          <w:lang w:bidi="zh-CN"/>
        </w:rPr>
      </w:pPr>
    </w:p>
    <w:p>
      <w:pPr>
        <w:spacing w:line="240" w:lineRule="exact"/>
        <w:outlineLvl w:val="2"/>
        <w:rPr>
          <w:rFonts w:ascii="Times New Roman" w:eastAsia="方正仿宋_GBK"/>
          <w:sz w:val="28"/>
          <w:szCs w:val="28"/>
        </w:rPr>
      </w:pPr>
    </w:p>
    <w:p>
      <w:pPr>
        <w:pStyle w:val="8"/>
        <w:spacing w:line="600" w:lineRule="exact"/>
        <w:ind w:leftChars="72" w:firstLine="140" w:firstLineChars="50"/>
        <w:rPr>
          <w:rFonts w:ascii="Times New Roman" w:hAnsi="Times New Roman" w:eastAsia="方正仿宋_GBK"/>
          <w:sz w:val="28"/>
          <w:szCs w:val="28"/>
        </w:rPr>
      </w:pPr>
      <w:r>
        <w:rPr>
          <w:rFonts w:ascii="Calibri" w:hAnsi="Calibri" w:eastAsia="黑体"/>
          <w:sz w:val="28"/>
          <w:szCs w:val="28"/>
          <w:u w:val="single"/>
        </w:rPr>
        <w:pict>
          <v:line id="直接连接符 6" o:spid="_x0000_s2078" o:spt="20" style="position:absolute;left:0pt;margin-left:4pt;margin-top:32.45pt;height:0pt;width:441.1pt;z-index:251671552;mso-width-relative:page;mso-height-relative:page;" coordsize="21600,21600" o:gfxdata="UEsDBAoAAAAAAIdO4kAAAAAAAAAAAAAAAAAEAAAAZHJzL1BLAwQUAAAACACHTuJAhatl8NUAAAAH&#10;AQAADwAAAGRycy9kb3ducmV2LnhtbE2PO0/EMBCEeyT+g7VINCfOvvAKIZsrgHQ0HCDavXhJIuJ1&#10;LvY94NdjRAHlzoxmvi2XBzeoHU+h94KwmBtQLI23vbQIL8/1WQ4qRBJLgxdG+OQAy+r4qKTC+r08&#10;8W4VW5VKJBSE0MU4FlqHpmNHYe5HluS9+8lRTOfUajvRPpW7QWfGXGlHvaSFjka+67j5WG0dQqhf&#10;eVN/zZqZeTtvPWeb+8cHQjw9WZhbUJEP8S8MP/gJHarEtPZbsUENCHn6JCJcX16ASnZ+YzJQ619B&#10;V6X+z199A1BLAwQUAAAACACHTuJALWmdlt8BAACkAwAADgAAAGRycy9lMm9Eb2MueG1srVPNjtMw&#10;EL4j8Q6W7zRppRY2arqHLcsFQSXgAaa2k1jynzzepn0JXgCJG5w4cudt2H0Mxm63LHBBiBycsWfm&#10;83xfviwv99awnYqovWv5dFJzppzwUru+5e/eXj95xhkmcBKMd6rlB4X8cvX40XIMjZr5wRupIiMQ&#10;h80YWj6kFJqqQjEoCzjxQTlKdj5aSLSNfSUjjIRuTTWr60U1+ihD9EIh0un6mOSrgt91SqTXXYcq&#10;MdNymi2VNZZ1m9dqtYSmjxAGLU5jwD9MYUE7uvQMtYYE7CbqP6CsFtGj79JEeFv5rtNCFQ7EZlr/&#10;xubNAEEVLiQOhrNM+P9gxavdJjItW77gzIGlT3T74ev395/uvn2k9fbLZ7bIIo0BG6q9cpt42mHY&#10;xMx430Wb38SF7Yuwh7Owap+YoMP5op5ePCX9xX2u+tkYIqYXyluWg5Yb7TJnaGD3EhNdRqX3JfnY&#10;ODa2/GI+mxMckGU6A4lCG4gEur70ojdaXmtjcgfGfntlIttBNkF5MiXC/aUsX7IGHI51JXW0x6BA&#10;PneSpUMgeRz5mOcRrJKcGUW2zxEBQpNAm7+ppKuNyw2qWPTEM2t8VDVHWy8P9GluQtT9QLpMy8w5&#10;Q1Yo059sm732cE/xw59r9Q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CFq2Xw1QAAAAcBAAAPAAAA&#10;AAAAAAEAIAAAACIAAABkcnMvZG93bnJldi54bWxQSwECFAAUAAAACACHTuJALWmdlt8BAACkAwAA&#10;DgAAAAAAAAABACAAAAAkAQAAZHJzL2Uyb0RvYy54bWxQSwUGAAAAAAYABgBZAQAAdQUAAAAA&#10;">
            <v:path arrowok="t"/>
            <v:fill focussize="0,0"/>
            <v:stroke/>
            <v:imagedata o:title=""/>
            <o:lock v:ext="edit"/>
          </v:line>
        </w:pict>
      </w:r>
      <w:r>
        <w:rPr>
          <w:rFonts w:ascii="Times New Roman" w:hAnsi="Calibri" w:eastAsia="方正仿宋_GBK"/>
          <w:spacing w:val="-10"/>
          <w:sz w:val="28"/>
          <w:szCs w:val="28"/>
        </w:rPr>
        <w:pict>
          <v:line id="直线 7" o:spid="_x0000_s2079" o:spt="20" style="position:absolute;left:0pt;margin-left:3.3pt;margin-top:1.15pt;height:0pt;width:441.1pt;z-index:251672576;mso-width-relative:page;mso-height-relative:page;" coordsize="21600,21600" o:gfxdata="UEsDBAoAAAAAAIdO4kAAAAAAAAAAAAAAAAAEAAAAZHJzL1BLAwQUAAAACACHTuJAkflrltMAAAAH&#10;AQAADwAAAGRycy9kb3ducmV2LnhtbE2OzU7DMBCE70i8g7VIXCpqN5WiKsTpAciNCwXEdRtvk6jx&#10;Oo3dH3h6FnGAue3MaPYr1xc/qBNNsQ9sYTE3oIib4HpuLby91ncrUDEhOxwCk4VPirCurq9KLFw4&#10;8wudNqlVMsKxQAtdSmOhdWw68hjnYSSWbBcmj0nOqdVuwrOM+0FnxuTaY8/yocORHjpq9pujtxDr&#10;dzrUX7NmZj6WbaDs8Pj8hNbe3izMPahEl/RXhh98QYdKmLbhyC6qwUKeS9FCZpagJF6JQG1/DV2V&#10;+j9/9Q1QSwMEFAAAAAgAh07iQJ0yWareAQAApAMAAA4AAABkcnMvZTJvRG9jLnhtbK1TTW4TMRTe&#10;I3EHy3syk0gpdJRJFw1lgyAScIAX2zNjyX/yczPJJbgAEjtYsWTPbWiPwbOThtJuEGIWb579fr9v&#10;vllc7KxhWxVRe9fy6aTmTDnhpXZ9yz+8v3r2gjNM4CQY71TL9wr5xfLpk8UYGjXzgzdSRUZNHDZj&#10;aPmQUmiqCsWgLODEB+Uo2PloIdEx9pWMMFJ3a6pZXZ9Vo48yRC8UIt2uDkG+LP27Ton0tutQJWZa&#10;TrulYmOxm2yr5QKaPkIYtDiuAf+whQXtaOip1QoSsOuoH7WyWkSPvksT4W3lu04LVTAQmmn9AM27&#10;AYIqWIgcDCea8P+1FW+268i0bPmcMweWPtHNp+8/P365/fGZ7M23r2yeSRoDNpR76dbxeMKwjhnx&#10;ros2vwkL2xVi9ydi1S4xQZfzs3p6/pz4F3ex6ndhiJheKW9ZdlputMuYoYHta0w0jFLvUvK1cWxs&#10;+fl8RgsLIMl0BhK5NhAIdH2pRW+0vNLG5AqM/ebSRLaFLILyZEjU94+0PGQFOBzySuggj0GBfOkk&#10;S/tA9DjSMc8rWCU5M4pknz1qCE0Cbf4mk0YblwtUkegRZ+b4wGr2Nl7u6dNch6j7gXiZlp1zhKRQ&#10;tj/KNmvt/pn8+z/X8h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CR+WuW0wAAAAcBAAAPAAAAAAAA&#10;AAEAIAAAACIAAABkcnMvZG93bnJldi54bWxQSwECFAAUAAAACACHTuJAnTJZqt4BAACkAwAADgAA&#10;AAAAAAABACAAAAAiAQAAZHJzL2Uyb0RvYy54bWxQSwUGAAAAAAYABgBZAQAAcgUAAAAA&#10;">
            <v:path arrowok="t"/>
            <v:fill focussize="0,0"/>
            <v:stroke/>
            <v:imagedata o:title=""/>
            <o:lock v:ext="edit"/>
          </v:line>
        </w:pict>
      </w:r>
      <w:r>
        <w:rPr>
          <w:rFonts w:ascii="Times New Roman" w:eastAsia="方正仿宋_GBK"/>
          <w:sz w:val="28"/>
          <w:szCs w:val="28"/>
        </w:rPr>
        <w:t>重庆市开州区</w:t>
      </w:r>
      <w:r>
        <w:rPr>
          <w:rFonts w:hint="eastAsia" w:ascii="Times New Roman" w:eastAsia="方正仿宋_GBK"/>
          <w:sz w:val="28"/>
          <w:szCs w:val="28"/>
        </w:rPr>
        <w:t>满月镇党政</w:t>
      </w:r>
      <w:r>
        <w:rPr>
          <w:rFonts w:ascii="Times New Roman" w:hAnsi="Times New Roman" w:eastAsia="方正仿宋_GBK"/>
          <w:sz w:val="28"/>
          <w:szCs w:val="28"/>
        </w:rPr>
        <w:t xml:space="preserve">办公室    </w:t>
      </w:r>
      <w:r>
        <w:rPr>
          <w:rFonts w:hint="eastAsia" w:ascii="Times New Roman" w:hAnsi="Times New Roman" w:eastAsia="方正仿宋_GBK"/>
          <w:sz w:val="28"/>
          <w:szCs w:val="28"/>
        </w:rPr>
        <w:t xml:space="preserve">     </w:t>
      </w:r>
      <w:r>
        <w:rPr>
          <w:rFonts w:ascii="Times New Roman" w:hAnsi="Times New Roman" w:eastAsia="方正仿宋_GBK"/>
          <w:sz w:val="28"/>
          <w:szCs w:val="28"/>
        </w:rPr>
        <w:t>2020年</w:t>
      </w:r>
      <w:r>
        <w:rPr>
          <w:rFonts w:hint="eastAsia" w:ascii="Times New Roman" w:hAnsi="Times New Roman" w:eastAsia="方正仿宋_GBK"/>
          <w:sz w:val="28"/>
          <w:szCs w:val="28"/>
        </w:rPr>
        <w:t>12</w:t>
      </w:r>
      <w:r>
        <w:rPr>
          <w:rFonts w:ascii="Times New Roman" w:hAnsi="Times New Roman" w:eastAsia="方正仿宋_GBK"/>
          <w:sz w:val="28"/>
          <w:szCs w:val="28"/>
        </w:rPr>
        <w:t>月</w:t>
      </w:r>
      <w:r>
        <w:rPr>
          <w:rFonts w:hint="eastAsia" w:ascii="Times New Roman" w:hAnsi="Times New Roman" w:eastAsia="方正仿宋_GBK"/>
          <w:sz w:val="28"/>
          <w:szCs w:val="28"/>
        </w:rPr>
        <w:t>22</w:t>
      </w:r>
      <w:r>
        <w:rPr>
          <w:rFonts w:ascii="Times New Roman" w:hAnsi="Times New Roman" w:eastAsia="方正仿宋_GBK"/>
          <w:sz w:val="28"/>
          <w:szCs w:val="28"/>
        </w:rPr>
        <w:t>日印发</w:t>
      </w:r>
    </w:p>
    <w:p>
      <w:pPr>
        <w:pStyle w:val="2"/>
        <w:rPr>
          <w:lang w:bidi="zh-CN"/>
        </w:rPr>
      </w:pPr>
    </w:p>
    <w:sectPr>
      <w:headerReference r:id="rId11"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Arial">
    <w:panose1 w:val="020B0604020202020204"/>
    <w:charset w:val="00"/>
    <w:family w:val="swiss"/>
    <w:pitch w:val="default"/>
    <w:sig w:usb0="E0002AFF" w:usb1="C0007843"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方正仿宋_GBK">
    <w:altName w:val="Arial Unicode MS"/>
    <w:panose1 w:val="03000509000000000000"/>
    <w:charset w:val="86"/>
    <w:family w:val="script"/>
    <w:pitch w:val="default"/>
    <w:sig w:usb0="00000000" w:usb1="00000000" w:usb2="00000010" w:usb3="00000000" w:csb0="00040000" w:csb1="00000000"/>
  </w:font>
  <w:font w:name="方正小标宋_GBK">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right="36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right="360"/>
      <w:jc w:val="center"/>
    </w:pPr>
    <w:r>
      <w:pict>
        <v:shape id="_x0000_s3075" o:spid="_x0000_s3075"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PPqHM0BAACnAwAADgAAAGRycy9lMm9Eb2MueG1srVNLbtswEN0X6B0I&#10;7mspXjSGYDlIYaQoULQF0h6ApiiLAH+YoS35Au0Nuuqm+57L5+iQkpw03WSRDTU/vpn3OFrfDNaw&#10;owLU3tX8alFyppz0jXb7mn/7evdmxRlG4RphvFM1PynkN5vXr9Z9qNTSd940ChiBOKz6UPMuxlAV&#10;BcpOWYELH5SjZOvBikgu7IsGRE/o1hTLsnxb9B6aAF4qRIpuxySfEOE5gL5ttVRbLw9WuTiigjIi&#10;EiXsdEC+ydO2rZLxc9uiiszUnJjGfFITsnfpLDZrUe1BhE7LaQTxnBGecLJCO2p6gdqKKNgB9H9Q&#10;Vkvw6Nu4kN4WI5GsCLG4Kp9oc9+JoDIXkhrDRXR8OVj56fgFmG5qfs2ZE5Ye/Pzzx/nXn/Pv7+w6&#10;ydMHrKjqPlBdHN75gZZmjiMFE+uhBZu+xIdRnsQ9XcRVQ2QyXVotV6uSUpJys0P4xcP1ABjfK29Z&#10;MmoO9HpZVHH8iHEsnUtSN+fvtDH5BY37J0CYY0TlFZhuJybjxMmKw26Y6O18cyJ2Pa1BzR1tPWfm&#10;gyOV08bMBszGbjYOAfS+yyuVumO4PUQaKU+aOoywxDA59H6Z67RraUEe+7nq4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NPPqHM0BAACnAwAADgAAAAAAAAABACAAAAAeAQAAZHJzL2Uy&#10;b0RvYy54bWxQSwUGAAAAAAYABgBZAQAAXQUAAAAA&#10;">
          <v:path/>
          <v:fill on="f" focussize="0,0"/>
          <v:stroke on="f" joinstyle="miter"/>
          <v:imagedata o:title=""/>
          <o:lock v:ext="edit"/>
          <v:textbox inset="0mm,0mm,0mm,0mm" style="mso-fit-shape-to-text:t;">
            <w:txbxContent>
              <w:p>
                <w:pPr>
                  <w:pStyle w:val="10"/>
                </w:pPr>
                <w:r>
                  <w:fldChar w:fldCharType="begin"/>
                </w:r>
                <w:r>
                  <w:instrText xml:space="preserve"> PAGE  \* MERGEFORMAT </w:instrText>
                </w:r>
                <w:r>
                  <w:fldChar w:fldCharType="separate"/>
                </w:r>
                <w:r>
                  <w:t>6</w:t>
                </w:r>
                <w: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pict>
        <v:shape id="_x0000_s3074" o:spid="_x0000_s3074"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qMvz03AgAAbwQAAA4AAABkcnMvZTJvRG9jLnhtbK1UzY7TMBC+I/EO&#10;lu80bRFVVTVdla2KkCp2pQVxdh2nieQ/2W6T8gDwBpy4cOe5+hx8dpIuWjjsgUs69oy/me+bmS5v&#10;WiXJSThfG53TyWhMidDcFLU+5PTTx+2rOSU+MF0wabTI6Vl4erN6+WLZ2IWYmsrIQjgCEO0Xjc1p&#10;FYJdZJnnlVDMj4wVGs7SOMUCju6QFY41QFcym47Hs6wxrrDOcOE9bjedk/aI7jmApixrLjaGH5XQ&#10;oUN1QrIASr6qraerVG1ZCh7uytKLQGROwTSkL5LA3sdvtlqyxcExW9W8L4E9p4QnnBSrNZJeoTYs&#10;MHJ09V9QqubOeFOGETcq64gkRcBiMn6izUPFrEhcILW3V9H9/4PlH073jtRFTmeUaKbQ8Mv3b5cf&#10;vy4/v5JZlKexfoGoB4u40L41LYZmuPe4jKzb0qn4Cz4Efoh7voor2kB4fDSfzudjuDh8wwH42eNz&#10;63x4J4wi0cipQ/eSqOy086ELHUJiNm22tZSpg1KTBhRevxmnB1cPwKWOsSLNQg8TKXWlRyu0+7bn&#10;uTfFGTSd6ebEW76tUcqO+XDPHAYD5WN1wh0+pTRIaXqLksq4L/+6j/HoF7yUNBi0nGrsFSXyvUYf&#10;ARgGww3GfjD0Ud0aTO4EK2l5MvHABTmYpTPqM/ZpHXPAxTRHppyGwbwN3bBjH7lYr1PQ0br6UHUP&#10;MIWWhZ1+sDymiVJ5uz4GSJsUjwJ1qqBT8YA5TD3rdyYO+p/nFPX4P7H6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DajL89NwIAAG8EAAAOAAAAAAAAAAEAIAAAAB8BAABkcnMvZTJvRG9jLnht&#10;bFBLBQYAAAAABgAGAFkBAADIBQAAAAA=&#10;">
          <v:path/>
          <v:fill on="f" focussize="0,0"/>
          <v:stroke on="f" weight="0.5pt" joinstyle="miter"/>
          <v:imagedata o:title=""/>
          <o:lock v:ext="edit"/>
          <v:textbox inset="0mm,0mm,0mm,0mm" style="mso-fit-shape-to-text:t;">
            <w:txbxContent>
              <w:p>
                <w:pPr>
                  <w:pStyle w:val="10"/>
                </w:pPr>
                <w:r>
                  <w:fldChar w:fldCharType="begin"/>
                </w:r>
                <w:r>
                  <w:instrText xml:space="preserve"> PAGE  \* MERGEFORMAT </w:instrText>
                </w:r>
                <w:r>
                  <w:fldChar w:fldCharType="separate"/>
                </w:r>
                <w:r>
                  <w:t>32</w:t>
                </w:r>
                <w: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pict>
        <v:shape id="_x0000_s3073" o:spid="_x0000_s3073" o:spt="202" type="#_x0000_t202" style="position:absolute;left:0pt;margin-top:0pt;height:144pt;width:144pt;mso-position-horizontal:center;mso-position-horizontal-relative:margin;mso-wrap-style:none;z-index:2516920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hLPQ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qW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JbhLPQzAgAAYwQAAA4AAAAAAAAAAQAgAAAAHwEAAGRycy9lMm9Eb2MueG1sUEsF&#10;BgAAAAAGAAYAWQEAAMQFAAAAAA==&#10;">
          <v:path/>
          <v:fill on="f" focussize="0,0"/>
          <v:stroke on="f" weight="0.5pt" joinstyle="miter"/>
          <v:imagedata o:title=""/>
          <o:lock v:ext="edit"/>
          <v:textbox inset="0mm,0mm,0mm,0mm" style="mso-fit-shape-to-text:t;">
            <w:txbxContent>
              <w:p>
                <w:pPr>
                  <w:pStyle w:val="10"/>
                </w:pPr>
                <w:r>
                  <w:fldChar w:fldCharType="begin"/>
                </w:r>
                <w:r>
                  <w:instrText xml:space="preserve"> PAGE  \* MERGEFORMAT </w:instrText>
                </w:r>
                <w:r>
                  <w:fldChar w:fldCharType="separate"/>
                </w:r>
                <w:r>
                  <w:t>42</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rPr>
      <w:t>重庆市开州区满月镇饮用水水源地突发环境事件应急预案报告</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rPr>
      <w:t>重庆市开州区满月镇饮用水水源地突发环境事件应急预案报告</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rPr>
      <w:t>重庆市开州区满月镇饮用水水源地突发环境事件应急预案报告</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CC88AC2"/>
    <w:multiLevelType w:val="singleLevel"/>
    <w:tmpl w:val="ACC88AC2"/>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HorizontalSpacing w:val="105"/>
  <w:drawingGridVerticalSpacing w:val="159"/>
  <w:displayHorizontalDrawingGridEvery w:val="2"/>
  <w:displayVerticalDrawingGridEvery w:val="2"/>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986822"/>
    <w:rsid w:val="000F1C8D"/>
    <w:rsid w:val="00293750"/>
    <w:rsid w:val="003449EE"/>
    <w:rsid w:val="0036482D"/>
    <w:rsid w:val="00420234"/>
    <w:rsid w:val="005558EC"/>
    <w:rsid w:val="005564D1"/>
    <w:rsid w:val="005B17FE"/>
    <w:rsid w:val="007873EA"/>
    <w:rsid w:val="007E7B31"/>
    <w:rsid w:val="007F1197"/>
    <w:rsid w:val="008863CA"/>
    <w:rsid w:val="00894D3C"/>
    <w:rsid w:val="008E73AF"/>
    <w:rsid w:val="00986822"/>
    <w:rsid w:val="00A64517"/>
    <w:rsid w:val="00AD2C74"/>
    <w:rsid w:val="00AE43EF"/>
    <w:rsid w:val="00C71F9E"/>
    <w:rsid w:val="00CF3559"/>
    <w:rsid w:val="00E21D7F"/>
    <w:rsid w:val="00E548DF"/>
    <w:rsid w:val="071E1B2B"/>
    <w:rsid w:val="0B473B80"/>
    <w:rsid w:val="0C586672"/>
    <w:rsid w:val="10107C46"/>
    <w:rsid w:val="11106759"/>
    <w:rsid w:val="12841BA9"/>
    <w:rsid w:val="134F6938"/>
    <w:rsid w:val="18E17D39"/>
    <w:rsid w:val="19F914D6"/>
    <w:rsid w:val="1A0429D9"/>
    <w:rsid w:val="1E0E1351"/>
    <w:rsid w:val="1E280AC6"/>
    <w:rsid w:val="1E45226A"/>
    <w:rsid w:val="1FD03911"/>
    <w:rsid w:val="23A25E6B"/>
    <w:rsid w:val="27F27A82"/>
    <w:rsid w:val="2992005D"/>
    <w:rsid w:val="2BFB6833"/>
    <w:rsid w:val="2C3174FB"/>
    <w:rsid w:val="2FE17238"/>
    <w:rsid w:val="331B0533"/>
    <w:rsid w:val="3B3B3935"/>
    <w:rsid w:val="3DBA0AA1"/>
    <w:rsid w:val="418E0B5A"/>
    <w:rsid w:val="446508F2"/>
    <w:rsid w:val="45B85AA0"/>
    <w:rsid w:val="45F7311F"/>
    <w:rsid w:val="45FC2A51"/>
    <w:rsid w:val="49395BF0"/>
    <w:rsid w:val="49E9678D"/>
    <w:rsid w:val="4E0917A4"/>
    <w:rsid w:val="4F3A6426"/>
    <w:rsid w:val="50FC3F54"/>
    <w:rsid w:val="55F87B8C"/>
    <w:rsid w:val="5C3D187E"/>
    <w:rsid w:val="5D7D69B0"/>
    <w:rsid w:val="5E173233"/>
    <w:rsid w:val="6019405B"/>
    <w:rsid w:val="66E43E2F"/>
    <w:rsid w:val="6AEA341C"/>
    <w:rsid w:val="6D136B99"/>
    <w:rsid w:val="73C6452F"/>
    <w:rsid w:val="740112B6"/>
    <w:rsid w:val="75BC1BEF"/>
    <w:rsid w:val="76B7003D"/>
    <w:rsid w:val="77A41FA0"/>
    <w:rsid w:val="781B478C"/>
    <w:rsid w:val="7E7A772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2"/>
      <o:rules v:ext="edit">
        <o:r id="V:Rule1" type="connector" idref="#_x0000_s2054"/>
        <o:r id="V:Rule2" type="connector" idref="#_x0000_s2055"/>
        <o:r id="V:Rule3" type="connector" idref="#_x0000_s2056"/>
        <o:r id="V:Rule4" type="connector" idref="#_x0000_s2057"/>
        <o:r id="V:Rule5" type="connector" idref="#_x0000_s2062"/>
        <o:r id="V:Rule6" type="connector" idref="#_x0000_s2072"/>
        <o:r id="V:Rule7" type="connector" idref="#_x0000_s2075"/>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1"/>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Cambria" w:hAnsi="Cambria"/>
      <w:b/>
      <w:bCs/>
      <w:sz w:val="32"/>
      <w:szCs w:val="32"/>
    </w:rPr>
  </w:style>
  <w:style w:type="paragraph" w:styleId="5">
    <w:name w:val="heading 3"/>
    <w:basedOn w:val="1"/>
    <w:next w:val="1"/>
    <w:qFormat/>
    <w:uiPriority w:val="0"/>
    <w:pPr>
      <w:widowControl/>
      <w:spacing w:before="100" w:beforeAutospacing="1" w:after="100" w:afterAutospacing="1"/>
      <w:jc w:val="left"/>
      <w:outlineLvl w:val="2"/>
    </w:pPr>
    <w:rPr>
      <w:rFonts w:ascii="宋体" w:hAnsi="宋体"/>
      <w:b/>
      <w:bCs/>
      <w:color w:val="272672"/>
      <w:kern w:val="0"/>
      <w:sz w:val="23"/>
      <w:szCs w:val="23"/>
    </w:rPr>
  </w:style>
  <w:style w:type="paragraph" w:styleId="6">
    <w:name w:val="heading 4"/>
    <w:basedOn w:val="1"/>
    <w:next w:val="1"/>
    <w:unhideWhenUsed/>
    <w:qFormat/>
    <w:uiPriority w:val="0"/>
    <w:pPr>
      <w:keepNext/>
      <w:keepLines/>
      <w:spacing w:line="372" w:lineRule="auto"/>
      <w:outlineLvl w:val="3"/>
    </w:pPr>
    <w:rPr>
      <w:rFonts w:ascii="Arial" w:hAnsi="Arial" w:eastAsia="黑体"/>
      <w:b/>
      <w:sz w:val="28"/>
    </w:rPr>
  </w:style>
  <w:style w:type="character" w:default="1" w:styleId="17">
    <w:name w:val="Default Paragraph Font"/>
    <w:semiHidden/>
    <w:unhideWhenUsed/>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7">
    <w:name w:val="Normal Indent"/>
    <w:basedOn w:val="1"/>
    <w:unhideWhenUsed/>
    <w:qFormat/>
    <w:uiPriority w:val="99"/>
    <w:pPr>
      <w:ind w:firstLine="420" w:firstLineChars="200"/>
    </w:pPr>
  </w:style>
  <w:style w:type="paragraph" w:styleId="8">
    <w:name w:val="Body Text"/>
    <w:basedOn w:val="1"/>
    <w:qFormat/>
    <w:uiPriority w:val="1"/>
    <w:pPr>
      <w:ind w:left="151"/>
    </w:pPr>
    <w:rPr>
      <w:rFonts w:ascii="宋体" w:hAnsi="宋体" w:cs="宋体"/>
      <w:sz w:val="32"/>
      <w:szCs w:val="32"/>
      <w:lang w:val="zh-CN" w:bidi="zh-CN"/>
    </w:rPr>
  </w:style>
  <w:style w:type="paragraph" w:styleId="9">
    <w:name w:val="Balloon Text"/>
    <w:basedOn w:val="1"/>
    <w:link w:val="34"/>
    <w:qFormat/>
    <w:uiPriority w:val="0"/>
    <w:rPr>
      <w:sz w:val="18"/>
      <w:szCs w:val="18"/>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qFormat/>
    <w:uiPriority w:val="0"/>
  </w:style>
  <w:style w:type="paragraph" w:styleId="13">
    <w:name w:val="toc 2"/>
    <w:basedOn w:val="1"/>
    <w:next w:val="1"/>
    <w:qFormat/>
    <w:uiPriority w:val="0"/>
    <w:pPr>
      <w:ind w:left="420" w:leftChars="200"/>
    </w:pPr>
  </w:style>
  <w:style w:type="paragraph" w:styleId="14">
    <w:name w:val="Normal (Web)"/>
    <w:basedOn w:val="1"/>
    <w:qFormat/>
    <w:uiPriority w:val="99"/>
    <w:pPr>
      <w:widowControl/>
      <w:spacing w:before="100" w:beforeAutospacing="1" w:after="100" w:afterAutospacing="1"/>
      <w:jc w:val="left"/>
    </w:pPr>
    <w:rPr>
      <w:rFonts w:ascii="宋体" w:hAnsi="宋体" w:cs="宋体"/>
      <w:color w:val="000000"/>
      <w:kern w:val="0"/>
      <w:sz w:val="24"/>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page number"/>
    <w:basedOn w:val="17"/>
    <w:qFormat/>
    <w:uiPriority w:val="0"/>
  </w:style>
  <w:style w:type="paragraph" w:customStyle="1" w:styleId="19">
    <w:name w:val="WPSOffice手动目录 1"/>
    <w:qFormat/>
    <w:uiPriority w:val="0"/>
    <w:rPr>
      <w:rFonts w:ascii="Times New Roman" w:hAnsi="Times New Roman" w:eastAsia="宋体" w:cs="Times New Roman"/>
      <w:lang w:val="en-US" w:eastAsia="zh-CN" w:bidi="ar-SA"/>
    </w:rPr>
  </w:style>
  <w:style w:type="paragraph" w:customStyle="1" w:styleId="20">
    <w:name w:val="环境预案正文"/>
    <w:basedOn w:val="1"/>
    <w:qFormat/>
    <w:uiPriority w:val="0"/>
    <w:pPr>
      <w:tabs>
        <w:tab w:val="left" w:pos="4540"/>
      </w:tabs>
      <w:ind w:firstLine="200" w:firstLineChars="200"/>
    </w:pPr>
    <w:rPr>
      <w:rFonts w:eastAsia="仿宋_GB2312" w:cs="宋体"/>
      <w:sz w:val="28"/>
    </w:rPr>
  </w:style>
  <w:style w:type="paragraph" w:customStyle="1" w:styleId="21">
    <w:name w:val="_Style 1"/>
    <w:basedOn w:val="1"/>
    <w:qFormat/>
    <w:uiPriority w:val="34"/>
    <w:pPr>
      <w:spacing w:line="360" w:lineRule="auto"/>
      <w:ind w:firstLine="420" w:firstLineChars="200"/>
    </w:pPr>
  </w:style>
  <w:style w:type="paragraph" w:customStyle="1" w:styleId="22">
    <w:name w:val="表格"/>
    <w:basedOn w:val="1"/>
    <w:next w:val="1"/>
    <w:qFormat/>
    <w:uiPriority w:val="0"/>
    <w:pPr>
      <w:jc w:val="center"/>
    </w:pPr>
    <w:rPr>
      <w:sz w:val="24"/>
    </w:rPr>
  </w:style>
  <w:style w:type="paragraph" w:customStyle="1" w:styleId="23">
    <w:name w:val="01正文"/>
    <w:basedOn w:val="1"/>
    <w:qFormat/>
    <w:uiPriority w:val="0"/>
    <w:pPr>
      <w:adjustRightInd w:val="0"/>
      <w:snapToGrid w:val="0"/>
      <w:spacing w:line="480" w:lineRule="exact"/>
      <w:ind w:firstLine="520" w:firstLineChars="200"/>
    </w:pPr>
    <w:rPr>
      <w:sz w:val="26"/>
      <w:szCs w:val="26"/>
    </w:rPr>
  </w:style>
  <w:style w:type="paragraph" w:customStyle="1" w:styleId="24">
    <w:name w:val="03表格文字"/>
    <w:basedOn w:val="23"/>
    <w:qFormat/>
    <w:uiPriority w:val="0"/>
    <w:pPr>
      <w:spacing w:line="360" w:lineRule="exact"/>
      <w:jc w:val="center"/>
    </w:pPr>
    <w:rPr>
      <w:sz w:val="22"/>
      <w:szCs w:val="22"/>
    </w:rPr>
  </w:style>
  <w:style w:type="paragraph" w:customStyle="1" w:styleId="25">
    <w:name w:val="报告 标题 2级"/>
    <w:basedOn w:val="1"/>
    <w:next w:val="26"/>
    <w:qFormat/>
    <w:uiPriority w:val="0"/>
    <w:pPr>
      <w:adjustRightInd w:val="0"/>
      <w:snapToGrid w:val="0"/>
      <w:spacing w:line="360" w:lineRule="auto"/>
      <w:jc w:val="left"/>
      <w:outlineLvl w:val="1"/>
    </w:pPr>
    <w:rPr>
      <w:rFonts w:eastAsia="Times New Roman"/>
      <w:b/>
      <w:sz w:val="32"/>
    </w:rPr>
  </w:style>
  <w:style w:type="paragraph" w:customStyle="1" w:styleId="26">
    <w:name w:val="报告 正文"/>
    <w:basedOn w:val="1"/>
    <w:qFormat/>
    <w:uiPriority w:val="0"/>
    <w:pPr>
      <w:adjustRightInd w:val="0"/>
      <w:snapToGrid w:val="0"/>
      <w:spacing w:line="360" w:lineRule="auto"/>
      <w:ind w:firstLine="200" w:firstLineChars="200"/>
    </w:pPr>
    <w:rPr>
      <w:rFonts w:eastAsia="Times New Roman"/>
      <w:sz w:val="24"/>
    </w:rPr>
  </w:style>
  <w:style w:type="paragraph" w:customStyle="1" w:styleId="27">
    <w:name w:val="报告 表名、表头、图名"/>
    <w:basedOn w:val="1"/>
    <w:qFormat/>
    <w:uiPriority w:val="0"/>
    <w:pPr>
      <w:adjustRightInd w:val="0"/>
      <w:snapToGrid w:val="0"/>
      <w:jc w:val="center"/>
    </w:pPr>
    <w:rPr>
      <w:rFonts w:eastAsia="Times New Roman"/>
      <w:b/>
    </w:rPr>
  </w:style>
  <w:style w:type="paragraph" w:customStyle="1" w:styleId="28">
    <w:name w:val="报告 表中文字"/>
    <w:basedOn w:val="1"/>
    <w:qFormat/>
    <w:uiPriority w:val="0"/>
    <w:pPr>
      <w:adjustRightInd w:val="0"/>
      <w:snapToGrid w:val="0"/>
      <w:jc w:val="center"/>
    </w:pPr>
    <w:rPr>
      <w:rFonts w:eastAsia="Times New Roman"/>
    </w:rPr>
  </w:style>
  <w:style w:type="paragraph" w:customStyle="1" w:styleId="29">
    <w:name w:val="3级标题201695"/>
    <w:basedOn w:val="30"/>
    <w:qFormat/>
    <w:uiPriority w:val="0"/>
    <w:rPr>
      <w:rFonts w:ascii="Times New Roman" w:hAnsi="Times New Roman" w:eastAsia="宋体"/>
      <w:b/>
      <w:kern w:val="0"/>
      <w:sz w:val="28"/>
      <w:szCs w:val="20"/>
    </w:rPr>
  </w:style>
  <w:style w:type="paragraph" w:customStyle="1" w:styleId="30">
    <w:name w:val="2级标题201695"/>
    <w:basedOn w:val="31"/>
    <w:qFormat/>
    <w:uiPriority w:val="0"/>
    <w:rPr>
      <w:sz w:val="30"/>
    </w:rPr>
  </w:style>
  <w:style w:type="paragraph" w:customStyle="1" w:styleId="31">
    <w:name w:val="一级标题201695"/>
    <w:basedOn w:val="1"/>
    <w:qFormat/>
    <w:uiPriority w:val="0"/>
    <w:pPr>
      <w:spacing w:line="360" w:lineRule="auto"/>
      <w:jc w:val="left"/>
    </w:pPr>
    <w:rPr>
      <w:rFonts w:eastAsia="黑体"/>
      <w:sz w:val="32"/>
    </w:rPr>
  </w:style>
  <w:style w:type="paragraph" w:styleId="32">
    <w:name w:val="List Paragraph"/>
    <w:basedOn w:val="1"/>
    <w:qFormat/>
    <w:uiPriority w:val="1"/>
    <w:pPr>
      <w:spacing w:before="168"/>
      <w:ind w:left="151" w:firstLine="631"/>
    </w:pPr>
    <w:rPr>
      <w:rFonts w:ascii="宋体" w:hAnsi="宋体" w:cs="宋体"/>
      <w:lang w:val="zh-CN" w:bidi="zh-CN"/>
    </w:rPr>
  </w:style>
  <w:style w:type="paragraph" w:customStyle="1" w:styleId="33">
    <w:name w:val="Table Paragraph"/>
    <w:basedOn w:val="1"/>
    <w:qFormat/>
    <w:uiPriority w:val="1"/>
    <w:pPr>
      <w:jc w:val="center"/>
    </w:pPr>
    <w:rPr>
      <w:rFonts w:ascii="宋体" w:hAnsi="宋体" w:cs="宋体"/>
      <w:lang w:val="zh-CN" w:bidi="zh-CN"/>
    </w:rPr>
  </w:style>
  <w:style w:type="character" w:customStyle="1" w:styleId="34">
    <w:name w:val="批注框文本 Char"/>
    <w:basedOn w:val="17"/>
    <w:link w:val="9"/>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5.jpeg"/><Relationship Id="rId16" Type="http://schemas.openxmlformats.org/officeDocument/2006/relationships/image" Target="media/image4.jpeg"/><Relationship Id="rId15" Type="http://schemas.openxmlformats.org/officeDocument/2006/relationships/image" Target="media/image3.jpeg"/><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3075"/>
    <customShpInfo spid="_x0000_s3074"/>
    <customShpInfo spid="_x0000_s3073"/>
    <customShpInfo spid="_x0000_s2077"/>
    <customShpInfo spid="_x0000_s1026"/>
    <customShpInfo spid="_x0000_s2075"/>
    <customShpInfo spid="_x0000_s2074"/>
    <customShpInfo spid="_x0000_s2073"/>
    <customShpInfo spid="_x0000_s2072"/>
    <customShpInfo spid="_x0000_s2071"/>
    <customShpInfo spid="_x0000_s2070"/>
    <customShpInfo spid="_x0000_s2069"/>
    <customShpInfo spid="_x0000_s2068"/>
    <customShpInfo spid="_x0000_s2067"/>
    <customShpInfo spid="_x0000_s2066"/>
    <customShpInfo spid="_x0000_s2065"/>
    <customShpInfo spid="_x0000_s2064"/>
    <customShpInfo spid="_x0000_s2063"/>
    <customShpInfo spid="_x0000_s2062"/>
    <customShpInfo spid="_x0000_s2061"/>
    <customShpInfo spid="_x0000_s2060"/>
    <customShpInfo spid="_x0000_s2059"/>
    <customShpInfo spid="_x0000_s2058"/>
    <customShpInfo spid="_x0000_s2057"/>
    <customShpInfo spid="_x0000_s2056"/>
    <customShpInfo spid="_x0000_s2055"/>
    <customShpInfo spid="_x0000_s2054"/>
    <customShpInfo spid="_x0000_s2053"/>
    <customShpInfo spid="_x0000_s2052"/>
    <customShpInfo spid="_x0000_s2051"/>
    <customShpInfo spid="_x0000_s2050"/>
    <customShpInfo spid="_x0000_s2078"/>
    <customShpInfo spid="_x0000_s2079"/>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D854E82-A030-402D-9027-7F5D8D915CD9}">
  <ds:schemaRefs/>
</ds:datastoreItem>
</file>

<file path=docProps/app.xml><?xml version="1.0" encoding="utf-8"?>
<Properties xmlns="http://schemas.openxmlformats.org/officeDocument/2006/extended-properties" xmlns:vt="http://schemas.openxmlformats.org/officeDocument/2006/docPropsVTypes">
  <Template>Normal.dotm</Template>
  <Pages>46</Pages>
  <Words>2853</Words>
  <Characters>16268</Characters>
  <Lines>135</Lines>
  <Paragraphs>38</Paragraphs>
  <TotalTime>79</TotalTime>
  <ScaleCrop>false</ScaleCrop>
  <LinksUpToDate>false</LinksUpToDate>
  <CharactersWithSpaces>19083</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2020-12-22T08:51:00Z</dcterms:created>
  <dc:creator>Administrator</dc:creator>
  <cp:lastModifiedBy>Administrator</cp:lastModifiedBy>
  <cp:lastPrinted>2020-12-22T08:49:00Z</cp:lastPrinted>
  <dcterms:modified xsi:type="dcterms:W3CDTF">2020-12-23T03:48:20Z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